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6569E" w14:textId="77777777" w:rsidR="00D81286" w:rsidRDefault="00D81286" w:rsidP="00D81286"/>
    <w:p w14:paraId="1B85D0B4" w14:textId="77777777" w:rsidR="00D81286" w:rsidRDefault="00D81286" w:rsidP="00D81286"/>
    <w:p w14:paraId="7612BC09" w14:textId="1CDF7758" w:rsidR="00D81286" w:rsidRDefault="00D81286" w:rsidP="00D81286">
      <w:pPr>
        <w:spacing w:line="276" w:lineRule="auto"/>
        <w:ind w:left="142"/>
        <w:rPr>
          <w:rFonts w:ascii="Montserrat" w:eastAsia="Times New Roman" w:hAnsi="Montserrat" w:cs="Poppins"/>
          <w:b/>
          <w:bCs/>
          <w:color w:val="ED7D31"/>
          <w:sz w:val="32"/>
          <w:szCs w:val="32"/>
          <w:lang w:eastAsia="pt-BR"/>
        </w:rPr>
      </w:pPr>
      <w:r w:rsidRPr="00776C08">
        <w:rPr>
          <w:rFonts w:ascii="Montserrat" w:eastAsia="Times New Roman" w:hAnsi="Montserrat" w:cs="Poppins"/>
          <w:b/>
          <w:bCs/>
          <w:color w:val="ED7D31"/>
          <w:sz w:val="32"/>
          <w:szCs w:val="32"/>
          <w:lang w:eastAsia="pt-BR"/>
        </w:rPr>
        <w:t>Edital n</w:t>
      </w:r>
      <w:r>
        <w:rPr>
          <w:rFonts w:ascii="Montserrat" w:eastAsia="Times New Roman" w:hAnsi="Montserrat" w:cs="Poppins"/>
          <w:b/>
          <w:bCs/>
          <w:color w:val="ED7D31"/>
          <w:sz w:val="32"/>
          <w:szCs w:val="32"/>
          <w:lang w:eastAsia="pt-BR"/>
        </w:rPr>
        <w:t>.</w:t>
      </w:r>
      <w:r w:rsidRPr="00776C08">
        <w:rPr>
          <w:rFonts w:ascii="Montserrat" w:eastAsia="Times New Roman" w:hAnsi="Montserrat" w:cs="Poppins"/>
          <w:b/>
          <w:bCs/>
          <w:color w:val="ED7D31"/>
          <w:sz w:val="32"/>
          <w:szCs w:val="32"/>
          <w:lang w:eastAsia="pt-BR"/>
        </w:rPr>
        <w:t>º 900</w:t>
      </w:r>
      <w:r w:rsidR="002A6FAB">
        <w:rPr>
          <w:rFonts w:ascii="Montserrat" w:eastAsia="Times New Roman" w:hAnsi="Montserrat" w:cs="Poppins"/>
          <w:b/>
          <w:bCs/>
          <w:color w:val="ED7D31"/>
          <w:sz w:val="32"/>
          <w:szCs w:val="32"/>
          <w:lang w:eastAsia="pt-BR"/>
        </w:rPr>
        <w:t>13</w:t>
      </w:r>
      <w:r w:rsidRPr="00776C08">
        <w:rPr>
          <w:rFonts w:ascii="Montserrat" w:eastAsia="Times New Roman" w:hAnsi="Montserrat" w:cs="Poppins"/>
          <w:b/>
          <w:bCs/>
          <w:color w:val="ED7D31"/>
          <w:sz w:val="32"/>
          <w:szCs w:val="32"/>
          <w:lang w:eastAsia="pt-BR"/>
        </w:rPr>
        <w:t>/202</w:t>
      </w:r>
      <w:r>
        <w:rPr>
          <w:rFonts w:ascii="Montserrat" w:eastAsia="Times New Roman" w:hAnsi="Montserrat" w:cs="Poppins"/>
          <w:b/>
          <w:bCs/>
          <w:color w:val="ED7D31"/>
          <w:sz w:val="32"/>
          <w:szCs w:val="32"/>
          <w:lang w:eastAsia="pt-BR"/>
        </w:rPr>
        <w:t>6</w:t>
      </w:r>
    </w:p>
    <w:p w14:paraId="47C4ACF7" w14:textId="77777777" w:rsidR="00D81286" w:rsidRDefault="00D81286" w:rsidP="00D81286">
      <w:pPr>
        <w:spacing w:line="276" w:lineRule="auto"/>
        <w:ind w:left="142"/>
        <w:rPr>
          <w:rFonts w:ascii="Montserrat" w:eastAsia="Times New Roman" w:hAnsi="Montserrat" w:cs="Poppins"/>
          <w:b/>
          <w:bCs/>
          <w:color w:val="ED7D31"/>
          <w:sz w:val="32"/>
          <w:szCs w:val="32"/>
          <w:lang w:eastAsia="pt-BR"/>
        </w:rPr>
      </w:pPr>
    </w:p>
    <w:p w14:paraId="5F2C57C5" w14:textId="77777777" w:rsidR="00D81286" w:rsidRPr="00E745D5" w:rsidRDefault="00D81286" w:rsidP="00D81286">
      <w:pPr>
        <w:rPr>
          <w:sz w:val="130"/>
          <w:szCs w:val="130"/>
        </w:rPr>
      </w:pPr>
      <w:r w:rsidRPr="00E745D5">
        <w:rPr>
          <w:rFonts w:ascii="Montserrat" w:eastAsia="Times New Roman" w:hAnsi="Montserrat" w:cs="Poppins"/>
          <w:b/>
          <w:bCs/>
          <w:color w:val="ED7D31"/>
          <w:sz w:val="130"/>
          <w:szCs w:val="130"/>
          <w:lang w:eastAsia="pt-BR"/>
        </w:rPr>
        <w:t>Pregão</w:t>
      </w:r>
    </w:p>
    <w:p w14:paraId="43300AD1" w14:textId="77777777" w:rsidR="00D81286" w:rsidRPr="00E745D5" w:rsidRDefault="00D81286" w:rsidP="00D81286">
      <w:pPr>
        <w:spacing w:line="276" w:lineRule="auto"/>
        <w:rPr>
          <w:rFonts w:ascii="Montserrat" w:eastAsia="Times New Roman" w:hAnsi="Montserrat" w:cs="Poppins"/>
          <w:b/>
          <w:bCs/>
          <w:color w:val="ED7D31"/>
          <w:sz w:val="130"/>
          <w:szCs w:val="130"/>
          <w:lang w:eastAsia="pt-BR"/>
        </w:rPr>
      </w:pPr>
      <w:r w:rsidRPr="00E745D5">
        <w:rPr>
          <w:rFonts w:ascii="Montserrat" w:eastAsia="Times New Roman" w:hAnsi="Montserrat" w:cs="Poppins"/>
          <w:b/>
          <w:bCs/>
          <w:color w:val="ED7D31"/>
          <w:sz w:val="130"/>
          <w:szCs w:val="130"/>
          <w:lang w:eastAsia="pt-BR"/>
        </w:rPr>
        <w:t>Eletrônico</w:t>
      </w:r>
    </w:p>
    <w:p w14:paraId="251BBD22" w14:textId="77777777" w:rsidR="00D81286" w:rsidRPr="00710505" w:rsidRDefault="00D81286" w:rsidP="00D81286">
      <w:pPr>
        <w:spacing w:line="276" w:lineRule="auto"/>
        <w:ind w:left="142"/>
        <w:rPr>
          <w:rFonts w:ascii="Poppins" w:eastAsia="Times New Roman" w:hAnsi="Poppins" w:cs="Poppins"/>
          <w:b/>
          <w:bCs/>
          <w:color w:val="000000" w:themeColor="text1"/>
          <w:sz w:val="22"/>
          <w:szCs w:val="22"/>
          <w:lang w:eastAsia="pt-BR"/>
        </w:rPr>
      </w:pPr>
      <w:r w:rsidRPr="00710505">
        <w:rPr>
          <w:rFonts w:ascii="Poppins" w:eastAsia="Times New Roman" w:hAnsi="Poppins" w:cs="Poppins"/>
          <w:b/>
          <w:bCs/>
          <w:color w:val="000000" w:themeColor="text1"/>
          <w:sz w:val="22"/>
          <w:szCs w:val="22"/>
          <w:lang w:eastAsia="pt-BR"/>
        </w:rPr>
        <w:t>CONTRATANTE</w:t>
      </w:r>
    </w:p>
    <w:p w14:paraId="34338696" w14:textId="77777777" w:rsidR="00D81286" w:rsidRPr="00710505" w:rsidRDefault="00D81286" w:rsidP="00D81286">
      <w:pPr>
        <w:spacing w:line="276" w:lineRule="auto"/>
        <w:ind w:left="142"/>
        <w:rPr>
          <w:rFonts w:ascii="Poppins" w:eastAsia="Times New Roman" w:hAnsi="Poppins" w:cs="Poppins"/>
          <w:b/>
          <w:bCs/>
          <w:color w:val="000000" w:themeColor="text1"/>
          <w:sz w:val="22"/>
          <w:szCs w:val="22"/>
          <w:lang w:eastAsia="pt-BR"/>
        </w:rPr>
      </w:pPr>
      <w:r w:rsidRPr="00710505">
        <w:rPr>
          <w:rFonts w:ascii="Poppins" w:eastAsia="Times New Roman" w:hAnsi="Poppins" w:cs="Poppins"/>
          <w:b/>
          <w:bCs/>
          <w:color w:val="000000" w:themeColor="text1"/>
          <w:sz w:val="22"/>
          <w:szCs w:val="22"/>
          <w:lang w:eastAsia="pt-BR"/>
        </w:rPr>
        <w:t>Fundação Estatal de Saúde de Niterói – FeSaúde</w:t>
      </w:r>
    </w:p>
    <w:p w14:paraId="37BEFC0A" w14:textId="77777777" w:rsidR="00D81286" w:rsidRPr="00710505" w:rsidRDefault="00D81286" w:rsidP="00D81286">
      <w:pPr>
        <w:spacing w:line="276" w:lineRule="auto"/>
        <w:ind w:left="142"/>
        <w:rPr>
          <w:rFonts w:ascii="Poppins" w:eastAsia="Times New Roman" w:hAnsi="Poppins" w:cs="Poppins"/>
          <w:color w:val="000000" w:themeColor="text1"/>
          <w:sz w:val="22"/>
          <w:szCs w:val="22"/>
          <w:lang w:eastAsia="pt-BR"/>
        </w:rPr>
      </w:pPr>
      <w:r w:rsidRPr="00710505">
        <w:rPr>
          <w:rFonts w:ascii="Poppins" w:eastAsia="Times New Roman" w:hAnsi="Poppins" w:cs="Poppins"/>
          <w:color w:val="000000" w:themeColor="text1"/>
          <w:sz w:val="22"/>
          <w:szCs w:val="22"/>
          <w:lang w:eastAsia="pt-BR"/>
        </w:rPr>
        <w:t>UASG: 927827</w:t>
      </w:r>
    </w:p>
    <w:p w14:paraId="34D7D36A" w14:textId="77777777" w:rsidR="00D81286" w:rsidRPr="00710505" w:rsidRDefault="00D81286" w:rsidP="00D81286">
      <w:pPr>
        <w:suppressAutoHyphens/>
        <w:ind w:left="142"/>
        <w:rPr>
          <w:rFonts w:ascii="Poppins" w:eastAsia="Times New Roman" w:hAnsi="Poppins" w:cs="Poppins"/>
          <w:b/>
          <w:bCs/>
          <w:color w:val="000000" w:themeColor="text1"/>
          <w:sz w:val="22"/>
          <w:szCs w:val="22"/>
        </w:rPr>
      </w:pPr>
    </w:p>
    <w:p w14:paraId="56D663CC" w14:textId="77777777" w:rsidR="00D81286" w:rsidRPr="00710505" w:rsidRDefault="00D81286" w:rsidP="00D81286">
      <w:pPr>
        <w:tabs>
          <w:tab w:val="center" w:pos="4419"/>
          <w:tab w:val="right" w:pos="8838"/>
          <w:tab w:val="right" w:pos="9356"/>
        </w:tabs>
        <w:ind w:left="142"/>
        <w:rPr>
          <w:rFonts w:ascii="Poppins" w:eastAsia="Times New Roman" w:hAnsi="Poppins" w:cs="Poppins"/>
          <w:b/>
          <w:bCs/>
          <w:color w:val="000000" w:themeColor="text1"/>
          <w:sz w:val="22"/>
          <w:szCs w:val="22"/>
          <w:lang w:eastAsia="pt-BR"/>
        </w:rPr>
      </w:pPr>
      <w:r w:rsidRPr="00710505">
        <w:rPr>
          <w:rFonts w:ascii="Poppins" w:eastAsia="Times New Roman" w:hAnsi="Poppins" w:cs="Poppins"/>
          <w:b/>
          <w:bCs/>
          <w:color w:val="000000" w:themeColor="text1"/>
          <w:sz w:val="22"/>
          <w:szCs w:val="22"/>
          <w:lang w:eastAsia="pt-BR"/>
        </w:rPr>
        <w:t>OBJETO</w:t>
      </w:r>
    </w:p>
    <w:p w14:paraId="79BF5E3A" w14:textId="6B2708DA" w:rsidR="00D81286" w:rsidRPr="00710505" w:rsidRDefault="00D81286" w:rsidP="00D81286">
      <w:pPr>
        <w:tabs>
          <w:tab w:val="center" w:pos="4419"/>
          <w:tab w:val="right" w:pos="8838"/>
          <w:tab w:val="right" w:pos="9356"/>
        </w:tabs>
        <w:ind w:left="142"/>
        <w:jc w:val="both"/>
        <w:rPr>
          <w:rFonts w:ascii="Poppins" w:eastAsia="Montserrat" w:hAnsi="Poppins" w:cs="Times New Roman"/>
          <w:sz w:val="22"/>
          <w:szCs w:val="22"/>
        </w:rPr>
      </w:pPr>
      <w:r w:rsidRPr="00710505">
        <w:rPr>
          <w:rFonts w:ascii="Poppins" w:eastAsia="Montserrat" w:hAnsi="Poppins" w:cs="Times New Roman"/>
          <w:sz w:val="22"/>
          <w:szCs w:val="22"/>
        </w:rPr>
        <w:t xml:space="preserve">Aquisição, por meio do Sistema de Registro de Preços, de </w:t>
      </w:r>
      <w:r w:rsidR="00C54DFD" w:rsidRPr="00C54DFD">
        <w:rPr>
          <w:rFonts w:ascii="Poppins" w:eastAsia="Montserrat" w:hAnsi="Poppins" w:cs="Times New Roman"/>
          <w:b/>
          <w:bCs/>
          <w:sz w:val="22"/>
          <w:szCs w:val="22"/>
        </w:rPr>
        <w:t>equipamentos odontológicos</w:t>
      </w:r>
      <w:r w:rsidRPr="00710505">
        <w:rPr>
          <w:rFonts w:ascii="Poppins" w:eastAsia="Montserrat" w:hAnsi="Poppins" w:cs="Times New Roman"/>
          <w:sz w:val="22"/>
          <w:szCs w:val="22"/>
        </w:rPr>
        <w:t>, para atender a demanda das Unidades de Saúde sob a gestão da Fundação Estatal de Saúde de Niterói (FeSaúde)</w:t>
      </w:r>
    </w:p>
    <w:p w14:paraId="3D8EBE19" w14:textId="77777777" w:rsidR="00D81286" w:rsidRPr="00710505" w:rsidRDefault="00D81286" w:rsidP="00D81286">
      <w:pPr>
        <w:tabs>
          <w:tab w:val="center" w:pos="4419"/>
          <w:tab w:val="right" w:pos="8838"/>
          <w:tab w:val="right" w:pos="9356"/>
        </w:tabs>
        <w:ind w:left="142"/>
        <w:jc w:val="both"/>
        <w:rPr>
          <w:rFonts w:ascii="Poppins" w:eastAsia="Montserrat" w:hAnsi="Poppins" w:cs="Times New Roman"/>
          <w:sz w:val="22"/>
          <w:szCs w:val="22"/>
        </w:rPr>
      </w:pPr>
    </w:p>
    <w:p w14:paraId="281F95A2" w14:textId="77777777" w:rsidR="00D81286" w:rsidRPr="00710505" w:rsidRDefault="00D81286" w:rsidP="00D81286">
      <w:pPr>
        <w:tabs>
          <w:tab w:val="center" w:pos="4419"/>
          <w:tab w:val="right" w:pos="8838"/>
          <w:tab w:val="right" w:pos="9356"/>
        </w:tabs>
        <w:ind w:left="142"/>
        <w:rPr>
          <w:rFonts w:ascii="Poppins" w:eastAsia="Montserrat" w:hAnsi="Poppins" w:cs="Times New Roman"/>
          <w:sz w:val="22"/>
          <w:szCs w:val="22"/>
        </w:rPr>
      </w:pPr>
      <w:r w:rsidRPr="00710505">
        <w:rPr>
          <w:rFonts w:ascii="Poppins" w:eastAsia="Times New Roman" w:hAnsi="Poppins" w:cs="Times New Roman"/>
          <w:b/>
          <w:bCs/>
          <w:sz w:val="22"/>
          <w:szCs w:val="22"/>
          <w:lang w:eastAsia="pt-BR"/>
        </w:rPr>
        <w:t>VALOR TOTAL DA CONTRATAÇÃO</w:t>
      </w:r>
    </w:p>
    <w:p w14:paraId="2458B5CB" w14:textId="3D48DB81" w:rsidR="00C54DFD" w:rsidRDefault="00C54DFD" w:rsidP="00C54DFD">
      <w:pPr>
        <w:tabs>
          <w:tab w:val="center" w:pos="4419"/>
          <w:tab w:val="right" w:pos="8838"/>
          <w:tab w:val="right" w:pos="9356"/>
        </w:tabs>
        <w:ind w:left="142"/>
        <w:rPr>
          <w:rFonts w:ascii="Poppins" w:eastAsia="Times New Roman" w:hAnsi="Poppins" w:cs="Poppins"/>
          <w:color w:val="000000" w:themeColor="text1"/>
          <w:sz w:val="22"/>
          <w:szCs w:val="22"/>
          <w:lang w:eastAsia="pt-BR"/>
        </w:rPr>
      </w:pPr>
      <w:r w:rsidRPr="00C54DFD">
        <w:rPr>
          <w:rFonts w:ascii="Poppins" w:eastAsia="Times New Roman" w:hAnsi="Poppins" w:cs="Poppins"/>
          <w:color w:val="000000" w:themeColor="text1"/>
          <w:sz w:val="22"/>
          <w:szCs w:val="22"/>
          <w:lang w:eastAsia="pt-BR"/>
        </w:rPr>
        <w:t>R$ 1.297.275,59 (um</w:t>
      </w:r>
      <w:r>
        <w:rPr>
          <w:rFonts w:ascii="Poppins" w:eastAsia="Times New Roman" w:hAnsi="Poppins" w:cs="Poppins"/>
          <w:color w:val="000000" w:themeColor="text1"/>
          <w:sz w:val="22"/>
          <w:szCs w:val="22"/>
          <w:lang w:eastAsia="pt-BR"/>
        </w:rPr>
        <w:t xml:space="preserve"> </w:t>
      </w:r>
      <w:r w:rsidRPr="00C54DFD">
        <w:rPr>
          <w:rFonts w:ascii="Poppins" w:eastAsia="Times New Roman" w:hAnsi="Poppins" w:cs="Poppins"/>
          <w:color w:val="000000" w:themeColor="text1"/>
          <w:sz w:val="22"/>
          <w:szCs w:val="22"/>
          <w:lang w:eastAsia="pt-BR"/>
        </w:rPr>
        <w:t>milhão e duzentos e noventa e sete mil e duzentos e setenta e cinco reais e cinquenta e nove</w:t>
      </w:r>
      <w:r>
        <w:rPr>
          <w:rFonts w:ascii="Poppins" w:eastAsia="Times New Roman" w:hAnsi="Poppins" w:cs="Poppins"/>
          <w:color w:val="000000" w:themeColor="text1"/>
          <w:sz w:val="22"/>
          <w:szCs w:val="22"/>
          <w:lang w:eastAsia="pt-BR"/>
        </w:rPr>
        <w:t xml:space="preserve"> </w:t>
      </w:r>
      <w:r w:rsidRPr="00C54DFD">
        <w:rPr>
          <w:rFonts w:ascii="Poppins" w:eastAsia="Times New Roman" w:hAnsi="Poppins" w:cs="Poppins"/>
          <w:color w:val="000000" w:themeColor="text1"/>
          <w:sz w:val="22"/>
          <w:szCs w:val="22"/>
          <w:lang w:eastAsia="pt-BR"/>
        </w:rPr>
        <w:t>centavos)</w:t>
      </w:r>
    </w:p>
    <w:p w14:paraId="2F19BEAD" w14:textId="77777777" w:rsidR="00B732F0" w:rsidRDefault="00B732F0" w:rsidP="00C54DFD">
      <w:pPr>
        <w:tabs>
          <w:tab w:val="center" w:pos="4419"/>
          <w:tab w:val="right" w:pos="8838"/>
          <w:tab w:val="right" w:pos="9356"/>
        </w:tabs>
        <w:ind w:left="142"/>
        <w:rPr>
          <w:rFonts w:ascii="Poppins" w:eastAsia="Times New Roman" w:hAnsi="Poppins" w:cs="Poppins"/>
          <w:color w:val="000000" w:themeColor="text1"/>
          <w:sz w:val="22"/>
          <w:szCs w:val="22"/>
          <w:lang w:eastAsia="pt-BR"/>
        </w:rPr>
      </w:pPr>
    </w:p>
    <w:p w14:paraId="4680DD11" w14:textId="7A0EC998" w:rsidR="00D81286" w:rsidRPr="00710505" w:rsidRDefault="00D81286" w:rsidP="00C54DFD">
      <w:pPr>
        <w:tabs>
          <w:tab w:val="center" w:pos="4419"/>
          <w:tab w:val="right" w:pos="8838"/>
          <w:tab w:val="right" w:pos="9356"/>
        </w:tabs>
        <w:ind w:left="142"/>
        <w:rPr>
          <w:rFonts w:ascii="Poppins" w:eastAsia="Times New Roman" w:hAnsi="Poppins" w:cs="Poppins"/>
          <w:color w:val="000000" w:themeColor="text1"/>
          <w:sz w:val="22"/>
          <w:szCs w:val="22"/>
          <w:lang w:eastAsia="pt-BR"/>
        </w:rPr>
      </w:pPr>
      <w:r w:rsidRPr="00710505">
        <w:rPr>
          <w:rFonts w:ascii="Poppins" w:eastAsia="Times New Roman" w:hAnsi="Poppins" w:cs="Poppins"/>
          <w:b/>
          <w:bCs/>
          <w:color w:val="000000" w:themeColor="text1"/>
          <w:sz w:val="22"/>
          <w:szCs w:val="22"/>
          <w:lang w:eastAsia="pt-BR"/>
        </w:rPr>
        <w:t>DATA DA SESSÃO PÚBLICA</w:t>
      </w:r>
    </w:p>
    <w:p w14:paraId="58ADAF9D" w14:textId="6E4DB172" w:rsidR="00D81286" w:rsidRPr="00710505" w:rsidRDefault="002A6FAB" w:rsidP="00D81286">
      <w:pPr>
        <w:ind w:left="142"/>
        <w:rPr>
          <w:rFonts w:ascii="Poppins" w:eastAsia="Times New Roman" w:hAnsi="Poppins" w:cs="Poppins"/>
          <w:color w:val="000000" w:themeColor="text1"/>
          <w:sz w:val="22"/>
          <w:szCs w:val="22"/>
        </w:rPr>
      </w:pPr>
      <w:r>
        <w:rPr>
          <w:rFonts w:ascii="Poppins" w:eastAsia="Times New Roman" w:hAnsi="Poppins" w:cs="Poppins"/>
          <w:color w:val="000000" w:themeColor="text1"/>
          <w:sz w:val="22"/>
          <w:szCs w:val="22"/>
          <w:lang w:eastAsia="pt-BR"/>
        </w:rPr>
        <w:t>Dia 01/04</w:t>
      </w:r>
      <w:r w:rsidR="00D81286" w:rsidRPr="00710505">
        <w:rPr>
          <w:rFonts w:ascii="Poppins" w:eastAsia="Times New Roman" w:hAnsi="Poppins" w:cs="Poppins"/>
          <w:color w:val="000000" w:themeColor="text1"/>
          <w:sz w:val="22"/>
          <w:szCs w:val="22"/>
          <w:lang w:eastAsia="pt-BR"/>
        </w:rPr>
        <w:t xml:space="preserve">/2026, </w:t>
      </w:r>
      <w:r w:rsidR="00C54DFD">
        <w:rPr>
          <w:rFonts w:ascii="Poppins" w:eastAsia="Times New Roman" w:hAnsi="Poppins" w:cs="Poppins"/>
          <w:color w:val="000000" w:themeColor="text1"/>
          <w:sz w:val="22"/>
          <w:szCs w:val="22"/>
          <w:lang w:eastAsia="pt-BR"/>
        </w:rPr>
        <w:t xml:space="preserve">às </w:t>
      </w:r>
      <w:proofErr w:type="gramStart"/>
      <w:r w:rsidR="00C54DFD">
        <w:rPr>
          <w:rFonts w:ascii="Poppins" w:eastAsia="Times New Roman" w:hAnsi="Poppins" w:cs="Poppins"/>
          <w:color w:val="000000" w:themeColor="text1"/>
          <w:sz w:val="22"/>
          <w:szCs w:val="22"/>
          <w:lang w:eastAsia="pt-BR"/>
        </w:rPr>
        <w:t>11</w:t>
      </w:r>
      <w:r w:rsidR="00D81286" w:rsidRPr="00710505">
        <w:rPr>
          <w:rFonts w:ascii="Poppins" w:eastAsia="Times New Roman" w:hAnsi="Poppins" w:cs="Poppins"/>
          <w:color w:val="000000" w:themeColor="text1"/>
          <w:sz w:val="22"/>
          <w:szCs w:val="22"/>
          <w:lang w:eastAsia="pt-BR"/>
        </w:rPr>
        <w:t>:00</w:t>
      </w:r>
      <w:proofErr w:type="gramEnd"/>
      <w:r w:rsidR="00D81286" w:rsidRPr="00710505">
        <w:rPr>
          <w:rFonts w:ascii="Poppins" w:eastAsia="Times New Roman" w:hAnsi="Poppins" w:cs="Poppins"/>
          <w:color w:val="000000" w:themeColor="text1"/>
          <w:sz w:val="22"/>
          <w:szCs w:val="22"/>
          <w:lang w:eastAsia="pt-BR"/>
        </w:rPr>
        <w:t>h (horário de Brasília)</w:t>
      </w:r>
    </w:p>
    <w:p w14:paraId="1A36FD18" w14:textId="77777777" w:rsidR="00D81286" w:rsidRPr="00710505" w:rsidRDefault="00D81286" w:rsidP="00D81286">
      <w:pPr>
        <w:ind w:left="142"/>
        <w:rPr>
          <w:rFonts w:ascii="Poppins" w:eastAsia="Times New Roman" w:hAnsi="Poppins" w:cs="Poppins"/>
          <w:b/>
          <w:bCs/>
          <w:color w:val="000000" w:themeColor="text1"/>
          <w:sz w:val="22"/>
          <w:szCs w:val="22"/>
        </w:rPr>
      </w:pPr>
    </w:p>
    <w:p w14:paraId="4A983A24" w14:textId="77777777" w:rsidR="00D81286" w:rsidRPr="00710505" w:rsidRDefault="00D81286" w:rsidP="00D81286">
      <w:pPr>
        <w:tabs>
          <w:tab w:val="center" w:pos="4419"/>
          <w:tab w:val="right" w:pos="8838"/>
          <w:tab w:val="right" w:pos="9356"/>
        </w:tabs>
        <w:ind w:left="142"/>
        <w:rPr>
          <w:rFonts w:ascii="Poppins" w:eastAsia="Times New Roman" w:hAnsi="Poppins" w:cs="Poppins"/>
          <w:b/>
          <w:bCs/>
          <w:color w:val="000000" w:themeColor="text1"/>
          <w:sz w:val="22"/>
          <w:szCs w:val="22"/>
          <w:lang w:eastAsia="pt-BR"/>
        </w:rPr>
      </w:pPr>
      <w:r w:rsidRPr="00710505">
        <w:rPr>
          <w:rFonts w:ascii="Poppins" w:eastAsia="Times New Roman" w:hAnsi="Poppins" w:cs="Poppins"/>
          <w:b/>
          <w:bCs/>
          <w:color w:val="000000" w:themeColor="text1"/>
          <w:sz w:val="22"/>
          <w:szCs w:val="22"/>
          <w:lang w:eastAsia="pt-BR"/>
        </w:rPr>
        <w:t>CRITÉRIO DE JULGAMENTO</w:t>
      </w:r>
    </w:p>
    <w:p w14:paraId="4CFB484D" w14:textId="77777777" w:rsidR="00D81286" w:rsidRPr="00710505" w:rsidRDefault="00D81286" w:rsidP="00D81286">
      <w:pPr>
        <w:ind w:left="142"/>
        <w:rPr>
          <w:rFonts w:ascii="Poppins" w:eastAsia="Times New Roman" w:hAnsi="Poppins" w:cs="Poppins"/>
          <w:color w:val="000000" w:themeColor="text1"/>
          <w:sz w:val="22"/>
          <w:szCs w:val="22"/>
          <w:lang w:eastAsia="pt-BR"/>
        </w:rPr>
      </w:pPr>
      <w:r w:rsidRPr="00710505">
        <w:rPr>
          <w:rFonts w:ascii="Poppins" w:eastAsia="Times New Roman" w:hAnsi="Poppins" w:cs="Poppins"/>
          <w:color w:val="000000" w:themeColor="text1"/>
          <w:sz w:val="22"/>
          <w:szCs w:val="22"/>
          <w:lang w:eastAsia="pt-BR"/>
        </w:rPr>
        <w:t xml:space="preserve">Menor Preço por </w:t>
      </w:r>
      <w:r w:rsidR="00710505">
        <w:rPr>
          <w:rFonts w:ascii="Poppins" w:eastAsia="Times New Roman" w:hAnsi="Poppins" w:cs="Poppins"/>
          <w:color w:val="000000" w:themeColor="text1"/>
          <w:sz w:val="22"/>
          <w:szCs w:val="22"/>
          <w:lang w:eastAsia="pt-BR"/>
        </w:rPr>
        <w:t>Item</w:t>
      </w:r>
    </w:p>
    <w:p w14:paraId="5F1187EA" w14:textId="77777777" w:rsidR="00D81286" w:rsidRPr="00710505" w:rsidRDefault="00D81286" w:rsidP="00D81286">
      <w:pPr>
        <w:ind w:left="142"/>
        <w:rPr>
          <w:rFonts w:ascii="Poppins" w:eastAsia="Times New Roman" w:hAnsi="Poppins" w:cs="Poppins"/>
          <w:b/>
          <w:bCs/>
          <w:color w:val="000000" w:themeColor="text1"/>
          <w:sz w:val="22"/>
          <w:szCs w:val="22"/>
        </w:rPr>
      </w:pPr>
    </w:p>
    <w:p w14:paraId="3E9802F6" w14:textId="77777777" w:rsidR="00D81286" w:rsidRPr="00710505" w:rsidRDefault="00D81286" w:rsidP="00D81286">
      <w:pPr>
        <w:tabs>
          <w:tab w:val="center" w:pos="4419"/>
          <w:tab w:val="right" w:pos="8838"/>
          <w:tab w:val="right" w:pos="9356"/>
        </w:tabs>
        <w:ind w:left="142"/>
        <w:rPr>
          <w:rFonts w:ascii="Poppins" w:eastAsia="Times New Roman" w:hAnsi="Poppins" w:cs="Poppins"/>
          <w:b/>
          <w:bCs/>
          <w:color w:val="000000" w:themeColor="text1"/>
          <w:sz w:val="22"/>
          <w:szCs w:val="22"/>
          <w:lang w:eastAsia="pt-BR"/>
        </w:rPr>
      </w:pPr>
      <w:r w:rsidRPr="00710505">
        <w:rPr>
          <w:rFonts w:ascii="Poppins" w:eastAsia="Times New Roman" w:hAnsi="Poppins" w:cs="Poppins"/>
          <w:b/>
          <w:bCs/>
          <w:color w:val="000000" w:themeColor="text1"/>
          <w:sz w:val="22"/>
          <w:szCs w:val="22"/>
          <w:lang w:eastAsia="pt-BR"/>
        </w:rPr>
        <w:t>MODO DE DISPUTA</w:t>
      </w:r>
    </w:p>
    <w:p w14:paraId="68B660DF" w14:textId="77777777" w:rsidR="00D81286" w:rsidRPr="00710505" w:rsidRDefault="00D81286" w:rsidP="00D81286">
      <w:pPr>
        <w:ind w:left="142"/>
        <w:rPr>
          <w:rFonts w:ascii="Poppins" w:eastAsia="Times New Roman" w:hAnsi="Poppins" w:cs="Poppins"/>
          <w:color w:val="000000" w:themeColor="text1"/>
          <w:sz w:val="22"/>
          <w:szCs w:val="22"/>
          <w:lang w:eastAsia="pt-BR"/>
        </w:rPr>
      </w:pPr>
      <w:r w:rsidRPr="00710505">
        <w:rPr>
          <w:rFonts w:ascii="Poppins" w:eastAsia="Times New Roman" w:hAnsi="Poppins" w:cs="Poppins"/>
          <w:color w:val="000000" w:themeColor="text1"/>
          <w:sz w:val="22"/>
          <w:szCs w:val="22"/>
          <w:lang w:eastAsia="pt-BR"/>
        </w:rPr>
        <w:t>Aberto</w:t>
      </w:r>
    </w:p>
    <w:p w14:paraId="37AF2C1F" w14:textId="77777777" w:rsidR="00D81286" w:rsidRPr="00710505" w:rsidRDefault="00D81286" w:rsidP="00D81286">
      <w:pPr>
        <w:ind w:left="142"/>
        <w:rPr>
          <w:rFonts w:ascii="Poppins" w:eastAsia="Times New Roman" w:hAnsi="Poppins" w:cs="Poppins"/>
          <w:b/>
          <w:bCs/>
          <w:color w:val="000000" w:themeColor="text1"/>
          <w:sz w:val="22"/>
          <w:szCs w:val="22"/>
        </w:rPr>
      </w:pPr>
    </w:p>
    <w:p w14:paraId="563C6452" w14:textId="77777777" w:rsidR="00D81286" w:rsidRPr="00710505" w:rsidRDefault="00D81286" w:rsidP="00D81286">
      <w:pPr>
        <w:tabs>
          <w:tab w:val="center" w:pos="4419"/>
          <w:tab w:val="right" w:pos="8838"/>
          <w:tab w:val="right" w:pos="9356"/>
        </w:tabs>
        <w:ind w:left="142"/>
        <w:rPr>
          <w:rFonts w:ascii="Poppins" w:eastAsia="Times New Roman" w:hAnsi="Poppins" w:cs="Poppins"/>
          <w:b/>
          <w:bCs/>
          <w:color w:val="000000" w:themeColor="text1"/>
          <w:sz w:val="22"/>
          <w:szCs w:val="22"/>
          <w:lang w:eastAsia="pt-BR"/>
        </w:rPr>
      </w:pPr>
      <w:r w:rsidRPr="00710505">
        <w:rPr>
          <w:rFonts w:ascii="Poppins" w:eastAsia="Times New Roman" w:hAnsi="Poppins" w:cs="Poppins"/>
          <w:b/>
          <w:bCs/>
          <w:color w:val="000000" w:themeColor="text1"/>
          <w:sz w:val="22"/>
          <w:szCs w:val="22"/>
          <w:lang w:eastAsia="pt-BR"/>
        </w:rPr>
        <w:t>PREFERÊNCIA ME/EPP/EQUIPARADAS</w:t>
      </w:r>
    </w:p>
    <w:p w14:paraId="65E18D6E" w14:textId="77777777" w:rsidR="00D81286" w:rsidRPr="00752E73" w:rsidRDefault="00D81286" w:rsidP="00D81286">
      <w:pPr>
        <w:ind w:left="142"/>
        <w:rPr>
          <w:rFonts w:ascii="Poppins" w:eastAsia="Arial" w:hAnsi="Poppins" w:cs="Poppins"/>
          <w:i/>
          <w:iCs/>
          <w:color w:val="000000" w:themeColor="text1"/>
          <w:sz w:val="20"/>
          <w:szCs w:val="20"/>
        </w:rPr>
      </w:pPr>
      <w:r w:rsidRPr="00710505">
        <w:rPr>
          <w:rFonts w:ascii="Poppins" w:eastAsia="Times New Roman" w:hAnsi="Poppins" w:cs="Poppins"/>
          <w:color w:val="000000" w:themeColor="text1"/>
          <w:sz w:val="22"/>
          <w:szCs w:val="22"/>
          <w:lang w:eastAsia="pt-BR"/>
        </w:rPr>
        <w:t>Não</w:t>
      </w:r>
      <w:r w:rsidRPr="00752E73">
        <w:rPr>
          <w:rFonts w:ascii="Poppins" w:eastAsia="Arial" w:hAnsi="Poppins" w:cs="Poppins"/>
          <w:i/>
          <w:iCs/>
          <w:color w:val="000000" w:themeColor="text1"/>
          <w:sz w:val="20"/>
          <w:szCs w:val="20"/>
        </w:rPr>
        <w:br w:type="page"/>
      </w:r>
    </w:p>
    <w:p w14:paraId="18FBA787" w14:textId="77777777" w:rsidR="00D81286" w:rsidRPr="00A400A3" w:rsidRDefault="00D81286" w:rsidP="00D81286">
      <w:pPr>
        <w:jc w:val="both"/>
        <w:rPr>
          <w:rFonts w:ascii="Poppins" w:eastAsia="Arial" w:hAnsi="Poppins" w:cs="Poppins"/>
          <w:i/>
          <w:iCs/>
          <w:color w:val="FF0000"/>
          <w:sz w:val="22"/>
          <w:szCs w:val="22"/>
        </w:rPr>
      </w:pPr>
    </w:p>
    <w:sdt>
      <w:sdtPr>
        <w:rPr>
          <w:rFonts w:ascii="Poppins" w:eastAsiaTheme="minorEastAsia" w:hAnsi="Poppins" w:cs="Poppins"/>
          <w:color w:val="000000" w:themeColor="text1"/>
          <w:sz w:val="24"/>
          <w:szCs w:val="24"/>
          <w:lang w:eastAsia="en-US"/>
        </w:rPr>
        <w:id w:val="316691783"/>
        <w:docPartObj>
          <w:docPartGallery w:val="Table of Contents"/>
          <w:docPartUnique/>
        </w:docPartObj>
      </w:sdtPr>
      <w:sdtEndPr>
        <w:rPr>
          <w:b/>
          <w:bCs/>
          <w:color w:val="auto"/>
          <w:sz w:val="22"/>
          <w:szCs w:val="22"/>
        </w:rPr>
      </w:sdtEndPr>
      <w:sdtContent>
        <w:p w14:paraId="0956B578" w14:textId="77777777" w:rsidR="00D81286" w:rsidRPr="00BB382F" w:rsidRDefault="00D81286" w:rsidP="00D81286">
          <w:pPr>
            <w:pStyle w:val="CabealhodoSumrio"/>
            <w:jc w:val="center"/>
            <w:rPr>
              <w:rFonts w:ascii="Poppins" w:hAnsi="Poppins" w:cs="Poppins"/>
              <w:b/>
              <w:bCs/>
              <w:color w:val="000000" w:themeColor="text1"/>
              <w:sz w:val="24"/>
              <w:szCs w:val="24"/>
            </w:rPr>
          </w:pPr>
          <w:r w:rsidRPr="00BB382F">
            <w:rPr>
              <w:rFonts w:ascii="Poppins" w:hAnsi="Poppins" w:cs="Poppins"/>
              <w:b/>
              <w:bCs/>
              <w:color w:val="000000" w:themeColor="text1"/>
              <w:sz w:val="24"/>
              <w:szCs w:val="24"/>
            </w:rPr>
            <w:t>Sumário do Edital de Pregão Eletrônico</w:t>
          </w:r>
        </w:p>
        <w:p w14:paraId="5E7C84C0" w14:textId="77777777" w:rsidR="00D81286" w:rsidRPr="00BB382F" w:rsidRDefault="00D81286" w:rsidP="00D81286">
          <w:pPr>
            <w:jc w:val="both"/>
            <w:rPr>
              <w:rFonts w:ascii="Poppins" w:hAnsi="Poppins" w:cs="Poppins"/>
              <w:sz w:val="22"/>
              <w:szCs w:val="22"/>
              <w:lang w:eastAsia="pt-BR"/>
            </w:rPr>
          </w:pPr>
        </w:p>
        <w:p w14:paraId="69FD9084" w14:textId="1E8E3752" w:rsidR="00D81286" w:rsidRPr="00BB382F" w:rsidRDefault="004C4B86" w:rsidP="00D81286">
          <w:pPr>
            <w:pStyle w:val="Sumrio1"/>
            <w:rPr>
              <w:rFonts w:ascii="Poppins" w:eastAsiaTheme="minorEastAsia" w:hAnsi="Poppins" w:cs="Poppins"/>
              <w:noProof/>
              <w:kern w:val="2"/>
              <w:sz w:val="22"/>
              <w:szCs w:val="22"/>
            </w:rPr>
          </w:pPr>
          <w:r w:rsidRPr="00BB382F">
            <w:rPr>
              <w:rFonts w:ascii="Poppins" w:hAnsi="Poppins" w:cs="Poppins"/>
              <w:sz w:val="22"/>
              <w:szCs w:val="22"/>
            </w:rPr>
            <w:fldChar w:fldCharType="begin"/>
          </w:r>
          <w:r w:rsidR="00D81286" w:rsidRPr="00BB382F">
            <w:rPr>
              <w:rFonts w:ascii="Poppins" w:hAnsi="Poppins" w:cs="Poppins"/>
              <w:sz w:val="22"/>
              <w:szCs w:val="22"/>
            </w:rPr>
            <w:instrText xml:space="preserve"> TOC \o "1-3" \h \z \u </w:instrText>
          </w:r>
          <w:r w:rsidRPr="00BB382F">
            <w:rPr>
              <w:rFonts w:ascii="Poppins" w:hAnsi="Poppins" w:cs="Poppins"/>
              <w:sz w:val="22"/>
              <w:szCs w:val="22"/>
            </w:rPr>
            <w:fldChar w:fldCharType="separate"/>
          </w:r>
          <w:hyperlink w:anchor="_Toc179572861" w:history="1">
            <w:r w:rsidR="00D81286" w:rsidRPr="00BB382F">
              <w:rPr>
                <w:rStyle w:val="Hyperlink"/>
                <w:rFonts w:ascii="Poppins" w:hAnsi="Poppins" w:cs="Poppins"/>
                <w:noProof/>
                <w:sz w:val="22"/>
                <w:szCs w:val="22"/>
              </w:rPr>
              <w:t>1.</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DO OBJETO</w:t>
            </w:r>
            <w:r w:rsidR="00D81286" w:rsidRPr="00BB382F">
              <w:rPr>
                <w:rFonts w:ascii="Poppins" w:hAnsi="Poppins" w:cs="Poppins"/>
                <w:noProof/>
                <w:webHidden/>
                <w:sz w:val="22"/>
                <w:szCs w:val="22"/>
              </w:rPr>
              <w:tab/>
            </w:r>
            <w:r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_Toc179572861 \h </w:instrText>
            </w:r>
            <w:r w:rsidRPr="00BB382F">
              <w:rPr>
                <w:rFonts w:ascii="Poppins" w:hAnsi="Poppins" w:cs="Poppins"/>
                <w:noProof/>
                <w:webHidden/>
                <w:sz w:val="22"/>
                <w:szCs w:val="22"/>
              </w:rPr>
            </w:r>
            <w:r w:rsidRPr="00BB382F">
              <w:rPr>
                <w:rFonts w:ascii="Poppins" w:hAnsi="Poppins" w:cs="Poppins"/>
                <w:noProof/>
                <w:webHidden/>
                <w:sz w:val="22"/>
                <w:szCs w:val="22"/>
              </w:rPr>
              <w:fldChar w:fldCharType="separate"/>
            </w:r>
            <w:r w:rsidR="00F7383D">
              <w:rPr>
                <w:rFonts w:ascii="Poppins" w:hAnsi="Poppins" w:cs="Poppins"/>
                <w:noProof/>
                <w:webHidden/>
                <w:sz w:val="22"/>
                <w:szCs w:val="22"/>
              </w:rPr>
              <w:t>3</w:t>
            </w:r>
            <w:r w:rsidRPr="00BB382F">
              <w:rPr>
                <w:rFonts w:ascii="Poppins" w:hAnsi="Poppins" w:cs="Poppins"/>
                <w:noProof/>
                <w:webHidden/>
                <w:sz w:val="22"/>
                <w:szCs w:val="22"/>
              </w:rPr>
              <w:fldChar w:fldCharType="end"/>
            </w:r>
          </w:hyperlink>
        </w:p>
        <w:p w14:paraId="3F9DFED4" w14:textId="07F93888" w:rsidR="00D81286" w:rsidRPr="00BB382F" w:rsidRDefault="00CF68F7" w:rsidP="00D81286">
          <w:pPr>
            <w:pStyle w:val="Sumrio1"/>
            <w:rPr>
              <w:rFonts w:ascii="Poppins" w:eastAsiaTheme="minorEastAsia" w:hAnsi="Poppins" w:cs="Poppins"/>
              <w:noProof/>
              <w:kern w:val="2"/>
              <w:sz w:val="22"/>
              <w:szCs w:val="22"/>
            </w:rPr>
          </w:pPr>
          <w:hyperlink w:anchor="_Toc179572862" w:history="1">
            <w:r w:rsidR="00D81286" w:rsidRPr="00BB382F">
              <w:rPr>
                <w:rStyle w:val="Hyperlink"/>
                <w:rFonts w:ascii="Poppins" w:hAnsi="Poppins" w:cs="Poppins"/>
                <w:noProof/>
                <w:sz w:val="22"/>
                <w:szCs w:val="22"/>
              </w:rPr>
              <w:t>2.</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DO REGISTRO DE PREÇOS</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_Toc179572862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3</w:t>
            </w:r>
            <w:r w:rsidR="004C4B86" w:rsidRPr="00BB382F">
              <w:rPr>
                <w:rFonts w:ascii="Poppins" w:hAnsi="Poppins" w:cs="Poppins"/>
                <w:noProof/>
                <w:webHidden/>
                <w:sz w:val="22"/>
                <w:szCs w:val="22"/>
              </w:rPr>
              <w:fldChar w:fldCharType="end"/>
            </w:r>
          </w:hyperlink>
        </w:p>
        <w:p w14:paraId="2B45F3EB" w14:textId="670D98D5" w:rsidR="00D81286" w:rsidRPr="00BB382F" w:rsidRDefault="00CF68F7" w:rsidP="00D81286">
          <w:pPr>
            <w:pStyle w:val="Sumrio1"/>
            <w:rPr>
              <w:rFonts w:ascii="Poppins" w:eastAsiaTheme="minorEastAsia" w:hAnsi="Poppins" w:cs="Poppins"/>
              <w:noProof/>
              <w:kern w:val="2"/>
              <w:sz w:val="22"/>
              <w:szCs w:val="22"/>
            </w:rPr>
          </w:pPr>
          <w:hyperlink w:anchor="_Toc179572863" w:history="1">
            <w:r w:rsidR="00D81286" w:rsidRPr="00BB382F">
              <w:rPr>
                <w:rStyle w:val="Hyperlink"/>
                <w:rFonts w:ascii="Poppins" w:hAnsi="Poppins" w:cs="Poppins"/>
                <w:noProof/>
                <w:sz w:val="22"/>
                <w:szCs w:val="22"/>
              </w:rPr>
              <w:t>3.</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 PARTICIPAÇÃO NA LICITAÇÃO</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_Toc179572863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3</w:t>
            </w:r>
            <w:r w:rsidR="004C4B86" w:rsidRPr="00BB382F">
              <w:rPr>
                <w:rFonts w:ascii="Poppins" w:hAnsi="Poppins" w:cs="Poppins"/>
                <w:noProof/>
                <w:webHidden/>
                <w:sz w:val="22"/>
                <w:szCs w:val="22"/>
              </w:rPr>
              <w:fldChar w:fldCharType="end"/>
            </w:r>
          </w:hyperlink>
        </w:p>
        <w:p w14:paraId="35AB3D3D" w14:textId="7F4F2767" w:rsidR="00D81286" w:rsidRPr="00BB382F" w:rsidRDefault="00CF68F7" w:rsidP="00D81286">
          <w:pPr>
            <w:pStyle w:val="Sumrio1"/>
            <w:rPr>
              <w:rFonts w:ascii="Poppins" w:eastAsiaTheme="minorEastAsia" w:hAnsi="Poppins" w:cs="Poppins"/>
              <w:noProof/>
              <w:kern w:val="2"/>
              <w:sz w:val="22"/>
              <w:szCs w:val="22"/>
            </w:rPr>
          </w:pPr>
          <w:hyperlink w:anchor="_Toc179572864" w:history="1">
            <w:r w:rsidR="00D81286" w:rsidRPr="00BB382F">
              <w:rPr>
                <w:rStyle w:val="Hyperlink"/>
                <w:rFonts w:ascii="Poppins" w:hAnsi="Poppins" w:cs="Poppins"/>
                <w:noProof/>
                <w:sz w:val="22"/>
                <w:szCs w:val="22"/>
              </w:rPr>
              <w:t>4.</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 APRESENTAÇÃO DA PROPOSTA E DOS DOCUMENTOS DE HABILITAÇÃO</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_Toc179572864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6</w:t>
            </w:r>
            <w:r w:rsidR="004C4B86" w:rsidRPr="00BB382F">
              <w:rPr>
                <w:rFonts w:ascii="Poppins" w:hAnsi="Poppins" w:cs="Poppins"/>
                <w:noProof/>
                <w:webHidden/>
                <w:sz w:val="22"/>
                <w:szCs w:val="22"/>
              </w:rPr>
              <w:fldChar w:fldCharType="end"/>
            </w:r>
          </w:hyperlink>
        </w:p>
        <w:p w14:paraId="05590FDA" w14:textId="29B8A4F6" w:rsidR="00D81286" w:rsidRPr="00BB382F" w:rsidRDefault="00CF68F7" w:rsidP="00D81286">
          <w:pPr>
            <w:pStyle w:val="Sumrio1"/>
            <w:rPr>
              <w:rFonts w:ascii="Poppins" w:eastAsiaTheme="minorEastAsia" w:hAnsi="Poppins" w:cs="Poppins"/>
              <w:noProof/>
              <w:kern w:val="2"/>
              <w:sz w:val="22"/>
              <w:szCs w:val="22"/>
            </w:rPr>
          </w:pPr>
          <w:hyperlink w:anchor="_Toc179572865" w:history="1">
            <w:r w:rsidR="00D81286" w:rsidRPr="00BB382F">
              <w:rPr>
                <w:rStyle w:val="Hyperlink"/>
                <w:rFonts w:ascii="Poppins" w:hAnsi="Poppins" w:cs="Poppins"/>
                <w:noProof/>
                <w:sz w:val="22"/>
                <w:szCs w:val="22"/>
              </w:rPr>
              <w:t>5.</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DO PREENCHIMENTO DA PROPOSTA</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_Toc179572865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7</w:t>
            </w:r>
            <w:r w:rsidR="004C4B86" w:rsidRPr="00BB382F">
              <w:rPr>
                <w:rFonts w:ascii="Poppins" w:hAnsi="Poppins" w:cs="Poppins"/>
                <w:noProof/>
                <w:webHidden/>
                <w:sz w:val="22"/>
                <w:szCs w:val="22"/>
              </w:rPr>
              <w:fldChar w:fldCharType="end"/>
            </w:r>
          </w:hyperlink>
        </w:p>
        <w:p w14:paraId="44C1C4A2" w14:textId="48924D82" w:rsidR="00D81286" w:rsidRPr="00BB382F" w:rsidRDefault="00CF68F7" w:rsidP="00D81286">
          <w:pPr>
            <w:pStyle w:val="Sumrio1"/>
            <w:rPr>
              <w:rFonts w:ascii="Poppins" w:eastAsiaTheme="minorEastAsia" w:hAnsi="Poppins" w:cs="Poppins"/>
              <w:noProof/>
              <w:kern w:val="2"/>
              <w:sz w:val="22"/>
              <w:szCs w:val="22"/>
            </w:rPr>
          </w:pPr>
          <w:hyperlink w:anchor="_Toc179572866" w:history="1">
            <w:r w:rsidR="00D81286" w:rsidRPr="00BB382F">
              <w:rPr>
                <w:rStyle w:val="Hyperlink"/>
                <w:rFonts w:ascii="Poppins" w:hAnsi="Poppins" w:cs="Poppins"/>
                <w:noProof/>
                <w:sz w:val="22"/>
                <w:szCs w:val="22"/>
              </w:rPr>
              <w:t>6.</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 ABERTURA DA SESSÃO, CLASSIFICAÇÃO DAS PROPOSTAS E FORMULAÇÃO DE LANCES</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_Toc179572866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10</w:t>
            </w:r>
            <w:r w:rsidR="004C4B86" w:rsidRPr="00BB382F">
              <w:rPr>
                <w:rFonts w:ascii="Poppins" w:hAnsi="Poppins" w:cs="Poppins"/>
                <w:noProof/>
                <w:webHidden/>
                <w:sz w:val="22"/>
                <w:szCs w:val="22"/>
              </w:rPr>
              <w:fldChar w:fldCharType="end"/>
            </w:r>
          </w:hyperlink>
        </w:p>
        <w:p w14:paraId="58A15BA8" w14:textId="343A874E" w:rsidR="00D81286" w:rsidRPr="00BB382F" w:rsidRDefault="00CF68F7" w:rsidP="00D81286">
          <w:pPr>
            <w:pStyle w:val="Sumrio1"/>
            <w:rPr>
              <w:rFonts w:ascii="Poppins" w:eastAsiaTheme="minorEastAsia" w:hAnsi="Poppins" w:cs="Poppins"/>
              <w:noProof/>
              <w:kern w:val="2"/>
              <w:sz w:val="22"/>
              <w:szCs w:val="22"/>
            </w:rPr>
          </w:pPr>
          <w:hyperlink w:anchor="_Toc179572867" w:history="1">
            <w:r w:rsidR="00D81286" w:rsidRPr="00BB382F">
              <w:rPr>
                <w:rStyle w:val="Hyperlink"/>
                <w:rFonts w:ascii="Poppins" w:hAnsi="Poppins" w:cs="Poppins"/>
                <w:noProof/>
                <w:sz w:val="22"/>
                <w:szCs w:val="22"/>
              </w:rPr>
              <w:t>7.</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 FASE DE JULGAMENTO</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_Toc179572867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13</w:t>
            </w:r>
            <w:r w:rsidR="004C4B86" w:rsidRPr="00BB382F">
              <w:rPr>
                <w:rFonts w:ascii="Poppins" w:hAnsi="Poppins" w:cs="Poppins"/>
                <w:noProof/>
                <w:webHidden/>
                <w:sz w:val="22"/>
                <w:szCs w:val="22"/>
              </w:rPr>
              <w:fldChar w:fldCharType="end"/>
            </w:r>
          </w:hyperlink>
        </w:p>
        <w:p w14:paraId="41462FF2" w14:textId="059D6D9B" w:rsidR="00D81286" w:rsidRPr="00BB382F" w:rsidRDefault="00CF68F7" w:rsidP="00D81286">
          <w:pPr>
            <w:pStyle w:val="Sumrio1"/>
            <w:rPr>
              <w:rFonts w:ascii="Poppins" w:eastAsiaTheme="minorEastAsia" w:hAnsi="Poppins" w:cs="Poppins"/>
              <w:noProof/>
              <w:kern w:val="2"/>
              <w:sz w:val="22"/>
              <w:szCs w:val="22"/>
            </w:rPr>
          </w:pPr>
          <w:hyperlink w:anchor="_Toc179572868" w:history="1">
            <w:r w:rsidR="00D81286" w:rsidRPr="00BB382F">
              <w:rPr>
                <w:rStyle w:val="Hyperlink"/>
                <w:rFonts w:ascii="Poppins" w:hAnsi="Poppins" w:cs="Poppins"/>
                <w:noProof/>
                <w:sz w:val="22"/>
                <w:szCs w:val="22"/>
              </w:rPr>
              <w:t>8.</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 FASE DE HABILITAÇÃO</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_Toc179572868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16</w:t>
            </w:r>
            <w:r w:rsidR="004C4B86" w:rsidRPr="00BB382F">
              <w:rPr>
                <w:rFonts w:ascii="Poppins" w:hAnsi="Poppins" w:cs="Poppins"/>
                <w:noProof/>
                <w:webHidden/>
                <w:sz w:val="22"/>
                <w:szCs w:val="22"/>
              </w:rPr>
              <w:fldChar w:fldCharType="end"/>
            </w:r>
          </w:hyperlink>
        </w:p>
        <w:p w14:paraId="3CAA30AE" w14:textId="3FEA10AB" w:rsidR="00D81286" w:rsidRPr="00BB382F" w:rsidRDefault="00CF68F7" w:rsidP="00D81286">
          <w:pPr>
            <w:pStyle w:val="Sumrio1"/>
            <w:rPr>
              <w:rFonts w:ascii="Poppins" w:eastAsiaTheme="minorEastAsia" w:hAnsi="Poppins" w:cs="Poppins"/>
              <w:noProof/>
              <w:kern w:val="2"/>
              <w:sz w:val="22"/>
              <w:szCs w:val="22"/>
            </w:rPr>
          </w:pPr>
          <w:hyperlink w:anchor="_Toc179572869" w:history="1">
            <w:r w:rsidR="00D81286" w:rsidRPr="00BB382F">
              <w:rPr>
                <w:rStyle w:val="Hyperlink"/>
                <w:rFonts w:ascii="Poppins" w:hAnsi="Poppins" w:cs="Poppins"/>
                <w:noProof/>
                <w:sz w:val="22"/>
                <w:szCs w:val="22"/>
              </w:rPr>
              <w:t>9.</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 ATA DE REGISTRO DE PREÇOS</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_Toc179572869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22</w:t>
            </w:r>
            <w:r w:rsidR="004C4B86" w:rsidRPr="00BB382F">
              <w:rPr>
                <w:rFonts w:ascii="Poppins" w:hAnsi="Poppins" w:cs="Poppins"/>
                <w:noProof/>
                <w:webHidden/>
                <w:sz w:val="22"/>
                <w:szCs w:val="22"/>
              </w:rPr>
              <w:fldChar w:fldCharType="end"/>
            </w:r>
          </w:hyperlink>
        </w:p>
        <w:p w14:paraId="681A4DEA" w14:textId="1A425958" w:rsidR="00D81286" w:rsidRPr="00BB382F" w:rsidRDefault="00CF68F7" w:rsidP="00D81286">
          <w:pPr>
            <w:pStyle w:val="Sumrio1"/>
            <w:rPr>
              <w:rFonts w:ascii="Poppins" w:eastAsiaTheme="minorEastAsia" w:hAnsi="Poppins" w:cs="Poppins"/>
              <w:noProof/>
              <w:kern w:val="2"/>
              <w:sz w:val="22"/>
              <w:szCs w:val="22"/>
            </w:rPr>
          </w:pPr>
          <w:hyperlink w:anchor="_Toc179572870" w:history="1">
            <w:r w:rsidR="00D81286" w:rsidRPr="00BB382F">
              <w:rPr>
                <w:rStyle w:val="Hyperlink"/>
                <w:rFonts w:ascii="Poppins" w:hAnsi="Poppins" w:cs="Poppins"/>
                <w:noProof/>
                <w:sz w:val="22"/>
                <w:szCs w:val="22"/>
              </w:rPr>
              <w:t>10.</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 FORMAÇÃO DO CADASTRO DE RESERVA</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_Toc179572870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27</w:t>
            </w:r>
            <w:r w:rsidR="004C4B86" w:rsidRPr="00BB382F">
              <w:rPr>
                <w:rFonts w:ascii="Poppins" w:hAnsi="Poppins" w:cs="Poppins"/>
                <w:noProof/>
                <w:webHidden/>
                <w:sz w:val="22"/>
                <w:szCs w:val="22"/>
              </w:rPr>
              <w:fldChar w:fldCharType="end"/>
            </w:r>
          </w:hyperlink>
        </w:p>
        <w:p w14:paraId="542BE784" w14:textId="4E460517" w:rsidR="00D81286" w:rsidRPr="00BB382F" w:rsidRDefault="00CF68F7" w:rsidP="00D81286">
          <w:pPr>
            <w:pStyle w:val="Sumrio1"/>
            <w:rPr>
              <w:rFonts w:ascii="Poppins" w:eastAsiaTheme="minorEastAsia" w:hAnsi="Poppins" w:cs="Poppins"/>
              <w:noProof/>
              <w:kern w:val="2"/>
              <w:sz w:val="22"/>
              <w:szCs w:val="22"/>
            </w:rPr>
          </w:pPr>
          <w:hyperlink w:anchor="_Toc179572871" w:history="1">
            <w:r w:rsidR="00D81286" w:rsidRPr="00BB382F">
              <w:rPr>
                <w:rStyle w:val="Hyperlink"/>
                <w:rFonts w:ascii="Poppins" w:hAnsi="Poppins" w:cs="Poppins"/>
                <w:noProof/>
                <w:sz w:val="22"/>
                <w:szCs w:val="22"/>
              </w:rPr>
              <w:t>11.</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DOS RECURSOS</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_Toc179572871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28</w:t>
            </w:r>
            <w:r w:rsidR="004C4B86" w:rsidRPr="00BB382F">
              <w:rPr>
                <w:rFonts w:ascii="Poppins" w:hAnsi="Poppins" w:cs="Poppins"/>
                <w:noProof/>
                <w:webHidden/>
                <w:sz w:val="22"/>
                <w:szCs w:val="22"/>
              </w:rPr>
              <w:fldChar w:fldCharType="end"/>
            </w:r>
          </w:hyperlink>
        </w:p>
        <w:p w14:paraId="335DA72B" w14:textId="3F3D3E74" w:rsidR="00D81286" w:rsidRPr="00BB382F" w:rsidRDefault="00CF68F7" w:rsidP="00D81286">
          <w:pPr>
            <w:pStyle w:val="Sumrio1"/>
            <w:rPr>
              <w:rFonts w:ascii="Poppins" w:eastAsiaTheme="minorEastAsia" w:hAnsi="Poppins" w:cs="Poppins"/>
              <w:noProof/>
              <w:kern w:val="2"/>
              <w:sz w:val="22"/>
              <w:szCs w:val="22"/>
            </w:rPr>
          </w:pPr>
          <w:hyperlink w:anchor="_Toc179572872" w:history="1">
            <w:r w:rsidR="00D81286" w:rsidRPr="00BB382F">
              <w:rPr>
                <w:rStyle w:val="Hyperlink"/>
                <w:rFonts w:ascii="Poppins" w:hAnsi="Poppins" w:cs="Poppins"/>
                <w:noProof/>
                <w:sz w:val="22"/>
                <w:szCs w:val="22"/>
              </w:rPr>
              <w:t>12.</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DAS INFRAÇÕES ADMINISTRATIVAS E SANÇÕES</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_Toc179572872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28</w:t>
            </w:r>
            <w:r w:rsidR="004C4B86" w:rsidRPr="00BB382F">
              <w:rPr>
                <w:rFonts w:ascii="Poppins" w:hAnsi="Poppins" w:cs="Poppins"/>
                <w:noProof/>
                <w:webHidden/>
                <w:sz w:val="22"/>
                <w:szCs w:val="22"/>
              </w:rPr>
              <w:fldChar w:fldCharType="end"/>
            </w:r>
          </w:hyperlink>
        </w:p>
        <w:p w14:paraId="2AE2EBE6" w14:textId="123E86AF" w:rsidR="00D81286" w:rsidRPr="00BB382F" w:rsidRDefault="00CF68F7" w:rsidP="00D81286">
          <w:pPr>
            <w:pStyle w:val="Sumrio1"/>
            <w:rPr>
              <w:rFonts w:ascii="Poppins" w:eastAsiaTheme="minorEastAsia" w:hAnsi="Poppins" w:cs="Poppins"/>
              <w:noProof/>
              <w:kern w:val="2"/>
              <w:sz w:val="22"/>
              <w:szCs w:val="22"/>
            </w:rPr>
          </w:pPr>
          <w:hyperlink w:anchor="_Toc179572873" w:history="1">
            <w:r w:rsidR="00D81286" w:rsidRPr="00BB382F">
              <w:rPr>
                <w:rStyle w:val="Hyperlink"/>
                <w:rFonts w:ascii="Poppins" w:hAnsi="Poppins" w:cs="Poppins"/>
                <w:noProof/>
                <w:sz w:val="22"/>
                <w:szCs w:val="22"/>
              </w:rPr>
              <w:t>13.</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 IMPUGNAÇÃO AO EDITAL E DO PEDIDO DE ESCLARECIMENTO</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_Toc179572873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31</w:t>
            </w:r>
            <w:r w:rsidR="004C4B86" w:rsidRPr="00BB382F">
              <w:rPr>
                <w:rFonts w:ascii="Poppins" w:hAnsi="Poppins" w:cs="Poppins"/>
                <w:noProof/>
                <w:webHidden/>
                <w:sz w:val="22"/>
                <w:szCs w:val="22"/>
              </w:rPr>
              <w:fldChar w:fldCharType="end"/>
            </w:r>
          </w:hyperlink>
        </w:p>
        <w:p w14:paraId="5E8090C6" w14:textId="395FA59D" w:rsidR="00D81286" w:rsidRPr="00BB382F" w:rsidRDefault="00CF68F7" w:rsidP="00D81286">
          <w:pPr>
            <w:pStyle w:val="Sumrio1"/>
            <w:rPr>
              <w:rFonts w:ascii="Poppins" w:eastAsiaTheme="minorEastAsia" w:hAnsi="Poppins" w:cs="Poppins"/>
              <w:noProof/>
              <w:kern w:val="2"/>
              <w:sz w:val="22"/>
              <w:szCs w:val="22"/>
            </w:rPr>
          </w:pPr>
          <w:hyperlink w:anchor="_Toc179572874" w:history="1">
            <w:r w:rsidR="00D81286" w:rsidRPr="00BB382F">
              <w:rPr>
                <w:rStyle w:val="Hyperlink"/>
                <w:rFonts w:ascii="Poppins" w:hAnsi="Poppins" w:cs="Poppins"/>
                <w:noProof/>
                <w:sz w:val="22"/>
                <w:szCs w:val="22"/>
              </w:rPr>
              <w:t>14.</w:t>
            </w:r>
            <w:r w:rsidR="00D81286" w:rsidRPr="00BB382F">
              <w:rPr>
                <w:rFonts w:ascii="Poppins" w:eastAsiaTheme="minorEastAsia" w:hAnsi="Poppins" w:cs="Poppins"/>
                <w:noProof/>
                <w:kern w:val="2"/>
                <w:sz w:val="22"/>
                <w:szCs w:val="22"/>
              </w:rPr>
              <w:tab/>
            </w:r>
            <w:r w:rsidR="00D81286" w:rsidRPr="00BB382F">
              <w:rPr>
                <w:rStyle w:val="Hyperlink"/>
                <w:rFonts w:ascii="Poppins" w:hAnsi="Poppins" w:cs="Poppins"/>
                <w:noProof/>
                <w:sz w:val="22"/>
                <w:szCs w:val="22"/>
              </w:rPr>
              <w:t>DAS DISPOSIÇÕES GERAIS</w:t>
            </w:r>
            <w:r w:rsidR="00D81286" w:rsidRPr="00BB382F">
              <w:rPr>
                <w:rFonts w:ascii="Poppins" w:hAnsi="Poppins" w:cs="Poppins"/>
                <w:noProof/>
                <w:webHidden/>
                <w:sz w:val="22"/>
                <w:szCs w:val="22"/>
              </w:rPr>
              <w:tab/>
            </w:r>
            <w:r w:rsidR="004C4B86" w:rsidRPr="00BB382F">
              <w:rPr>
                <w:rFonts w:ascii="Poppins" w:hAnsi="Poppins" w:cs="Poppins"/>
                <w:noProof/>
                <w:webHidden/>
                <w:sz w:val="22"/>
                <w:szCs w:val="22"/>
              </w:rPr>
              <w:fldChar w:fldCharType="begin"/>
            </w:r>
            <w:r w:rsidR="00D81286" w:rsidRPr="00BB382F">
              <w:rPr>
                <w:rFonts w:ascii="Poppins" w:hAnsi="Poppins" w:cs="Poppins"/>
                <w:noProof/>
                <w:webHidden/>
                <w:sz w:val="22"/>
                <w:szCs w:val="22"/>
              </w:rPr>
              <w:instrText xml:space="preserve"> PAGEREF _Toc179572874 \h </w:instrText>
            </w:r>
            <w:r w:rsidR="004C4B86" w:rsidRPr="00BB382F">
              <w:rPr>
                <w:rFonts w:ascii="Poppins" w:hAnsi="Poppins" w:cs="Poppins"/>
                <w:noProof/>
                <w:webHidden/>
                <w:sz w:val="22"/>
                <w:szCs w:val="22"/>
              </w:rPr>
            </w:r>
            <w:r w:rsidR="004C4B86" w:rsidRPr="00BB382F">
              <w:rPr>
                <w:rFonts w:ascii="Poppins" w:hAnsi="Poppins" w:cs="Poppins"/>
                <w:noProof/>
                <w:webHidden/>
                <w:sz w:val="22"/>
                <w:szCs w:val="22"/>
              </w:rPr>
              <w:fldChar w:fldCharType="separate"/>
            </w:r>
            <w:r w:rsidR="00F7383D">
              <w:rPr>
                <w:rFonts w:ascii="Poppins" w:hAnsi="Poppins" w:cs="Poppins"/>
                <w:noProof/>
                <w:webHidden/>
                <w:sz w:val="22"/>
                <w:szCs w:val="22"/>
              </w:rPr>
              <w:t>32</w:t>
            </w:r>
            <w:r w:rsidR="004C4B86" w:rsidRPr="00BB382F">
              <w:rPr>
                <w:rFonts w:ascii="Poppins" w:hAnsi="Poppins" w:cs="Poppins"/>
                <w:noProof/>
                <w:webHidden/>
                <w:sz w:val="22"/>
                <w:szCs w:val="22"/>
              </w:rPr>
              <w:fldChar w:fldCharType="end"/>
            </w:r>
          </w:hyperlink>
        </w:p>
        <w:p w14:paraId="053EDAF1" w14:textId="77777777" w:rsidR="00D81286" w:rsidRPr="00BB382F" w:rsidRDefault="00D81286" w:rsidP="00D81286">
          <w:pPr>
            <w:pStyle w:val="Sumrio1"/>
            <w:rPr>
              <w:rFonts w:ascii="Poppins" w:eastAsiaTheme="minorEastAsia" w:hAnsi="Poppins" w:cs="Poppins"/>
              <w:noProof/>
              <w:kern w:val="2"/>
              <w:sz w:val="22"/>
              <w:szCs w:val="22"/>
            </w:rPr>
          </w:pPr>
        </w:p>
        <w:p w14:paraId="57620F50" w14:textId="77777777" w:rsidR="00D81286" w:rsidRDefault="004C4B86" w:rsidP="00D81286">
          <w:pPr>
            <w:jc w:val="both"/>
          </w:pPr>
          <w:r w:rsidRPr="00BB382F">
            <w:rPr>
              <w:rFonts w:ascii="Poppins" w:hAnsi="Poppins" w:cs="Poppins"/>
              <w:b/>
              <w:bCs/>
              <w:sz w:val="22"/>
              <w:szCs w:val="22"/>
            </w:rPr>
            <w:fldChar w:fldCharType="end"/>
          </w:r>
        </w:p>
      </w:sdtContent>
    </w:sdt>
    <w:p w14:paraId="67F26001" w14:textId="77777777" w:rsidR="00D81286" w:rsidRDefault="00D81286" w:rsidP="00D81286">
      <w:pPr>
        <w:jc w:val="both"/>
        <w:rPr>
          <w:rFonts w:ascii="Times New Roman" w:eastAsia="Arial" w:hAnsi="Times New Roman" w:cs="Times New Roman"/>
          <w:i/>
          <w:iCs/>
          <w:color w:val="FF0000"/>
        </w:rPr>
      </w:pPr>
    </w:p>
    <w:p w14:paraId="5859EE70" w14:textId="77777777" w:rsidR="00D81286" w:rsidRDefault="00D81286" w:rsidP="00D81286">
      <w:pPr>
        <w:spacing w:after="200" w:line="276" w:lineRule="auto"/>
        <w:rPr>
          <w:rFonts w:ascii="Times New Roman" w:eastAsia="Arial" w:hAnsi="Times New Roman" w:cs="Times New Roman"/>
          <w:color w:val="000000" w:themeColor="text1"/>
        </w:rPr>
      </w:pPr>
      <w:r>
        <w:rPr>
          <w:rFonts w:ascii="Times New Roman" w:eastAsia="Arial" w:hAnsi="Times New Roman" w:cs="Times New Roman"/>
          <w:color w:val="000000" w:themeColor="text1"/>
        </w:rPr>
        <w:br w:type="page"/>
      </w:r>
    </w:p>
    <w:p w14:paraId="0D1D23FE" w14:textId="0DBA152D" w:rsidR="00D81286" w:rsidRPr="00CE2474" w:rsidRDefault="00D81286" w:rsidP="00D81286">
      <w:pPr>
        <w:spacing w:line="276" w:lineRule="auto"/>
        <w:jc w:val="center"/>
        <w:rPr>
          <w:rFonts w:ascii="Times New Roman" w:hAnsi="Times New Roman" w:cs="Times New Roman"/>
          <w:b/>
          <w:bCs/>
          <w:sz w:val="23"/>
          <w:szCs w:val="23"/>
        </w:rPr>
      </w:pPr>
      <w:r w:rsidRPr="00CE2474">
        <w:rPr>
          <w:rFonts w:ascii="Times New Roman" w:hAnsi="Times New Roman" w:cs="Times New Roman"/>
          <w:b/>
          <w:bCs/>
          <w:sz w:val="23"/>
          <w:szCs w:val="23"/>
        </w:rPr>
        <w:lastRenderedPageBreak/>
        <w:t xml:space="preserve">PREGÃO ELETRÔNICO N.º </w:t>
      </w:r>
      <w:r w:rsidR="002A6FAB">
        <w:rPr>
          <w:rFonts w:ascii="Times New Roman" w:hAnsi="Times New Roman" w:cs="Times New Roman"/>
          <w:b/>
          <w:bCs/>
          <w:sz w:val="23"/>
          <w:szCs w:val="23"/>
        </w:rPr>
        <w:t>90013</w:t>
      </w:r>
      <w:bookmarkStart w:id="0" w:name="_GoBack"/>
      <w:bookmarkEnd w:id="0"/>
      <w:r w:rsidRPr="00CE2474">
        <w:rPr>
          <w:rFonts w:ascii="Times New Roman" w:hAnsi="Times New Roman" w:cs="Times New Roman"/>
          <w:b/>
          <w:bCs/>
          <w:sz w:val="23"/>
          <w:szCs w:val="23"/>
        </w:rPr>
        <w:t>/2026</w:t>
      </w:r>
    </w:p>
    <w:p w14:paraId="31FA90EE" w14:textId="5137B68A" w:rsidR="00D81286" w:rsidRPr="00CE2474" w:rsidRDefault="00D81286" w:rsidP="00D81286">
      <w:pPr>
        <w:spacing w:line="276" w:lineRule="auto"/>
        <w:jc w:val="center"/>
        <w:rPr>
          <w:rFonts w:ascii="Times New Roman" w:hAnsi="Times New Roman" w:cs="Times New Roman"/>
          <w:sz w:val="23"/>
          <w:szCs w:val="23"/>
        </w:rPr>
      </w:pPr>
      <w:r w:rsidRPr="00CE2474">
        <w:rPr>
          <w:rFonts w:ascii="Times New Roman" w:hAnsi="Times New Roman" w:cs="Times New Roman"/>
          <w:sz w:val="23"/>
          <w:szCs w:val="23"/>
        </w:rPr>
        <w:t>Processo Administrativo n.º 9900</w:t>
      </w:r>
      <w:r w:rsidR="00710505" w:rsidRPr="00CE2474">
        <w:rPr>
          <w:rFonts w:ascii="Times New Roman" w:hAnsi="Times New Roman" w:cs="Times New Roman"/>
          <w:sz w:val="23"/>
          <w:szCs w:val="23"/>
        </w:rPr>
        <w:t>001</w:t>
      </w:r>
      <w:r w:rsidR="00C54DFD" w:rsidRPr="00CE2474">
        <w:rPr>
          <w:rFonts w:ascii="Times New Roman" w:hAnsi="Times New Roman" w:cs="Times New Roman"/>
          <w:sz w:val="23"/>
          <w:szCs w:val="23"/>
        </w:rPr>
        <w:t>035</w:t>
      </w:r>
      <w:r w:rsidRPr="00CE2474">
        <w:rPr>
          <w:rFonts w:ascii="Times New Roman" w:hAnsi="Times New Roman" w:cs="Times New Roman"/>
          <w:sz w:val="23"/>
          <w:szCs w:val="23"/>
        </w:rPr>
        <w:t>/202</w:t>
      </w:r>
      <w:r w:rsidR="00710505" w:rsidRPr="00CE2474">
        <w:rPr>
          <w:rFonts w:ascii="Times New Roman" w:hAnsi="Times New Roman" w:cs="Times New Roman"/>
          <w:sz w:val="23"/>
          <w:szCs w:val="23"/>
        </w:rPr>
        <w:t>6</w:t>
      </w:r>
    </w:p>
    <w:p w14:paraId="7496C323" w14:textId="77777777" w:rsidR="00D81286" w:rsidRPr="00CE2474" w:rsidRDefault="00D81286" w:rsidP="00D81286">
      <w:pPr>
        <w:spacing w:before="240" w:after="240" w:line="276" w:lineRule="auto"/>
        <w:jc w:val="both"/>
        <w:rPr>
          <w:rFonts w:ascii="Times New Roman" w:hAnsi="Times New Roman" w:cs="Times New Roman"/>
          <w:sz w:val="23"/>
          <w:szCs w:val="23"/>
        </w:rPr>
      </w:pPr>
      <w:bookmarkStart w:id="1" w:name="_Hlk164414296"/>
      <w:r w:rsidRPr="00CE2474">
        <w:rPr>
          <w:rFonts w:ascii="Times New Roman" w:hAnsi="Times New Roman" w:cs="Times New Roman"/>
          <w:sz w:val="23"/>
          <w:szCs w:val="23"/>
        </w:rPr>
        <w:t xml:space="preserve">Torna-se público que a Fundação Estatal de Saúde de Niterói, por meio da Diretoria de Administração e Finanças, sediada na Rua Santa Clara, n.º 102, Ponta D'Areia, CEP 24.040-050, Niterói/RJ, realizará licitação, na modalidade </w:t>
      </w:r>
      <w:r w:rsidRPr="00CE2474">
        <w:rPr>
          <w:rFonts w:ascii="Times New Roman" w:hAnsi="Times New Roman" w:cs="Times New Roman"/>
          <w:b/>
          <w:bCs/>
          <w:sz w:val="23"/>
          <w:szCs w:val="23"/>
        </w:rPr>
        <w:t>PREGÃO</w:t>
      </w:r>
      <w:r w:rsidRPr="00CE2474">
        <w:rPr>
          <w:rFonts w:ascii="Times New Roman" w:hAnsi="Times New Roman" w:cs="Times New Roman"/>
          <w:sz w:val="23"/>
          <w:szCs w:val="23"/>
        </w:rPr>
        <w:t xml:space="preserve">, na forma </w:t>
      </w:r>
      <w:r w:rsidRPr="00CE2474">
        <w:rPr>
          <w:rFonts w:ascii="Times New Roman" w:hAnsi="Times New Roman" w:cs="Times New Roman"/>
          <w:b/>
          <w:bCs/>
          <w:sz w:val="23"/>
          <w:szCs w:val="23"/>
        </w:rPr>
        <w:t>ELETRÔNICA</w:t>
      </w:r>
      <w:r w:rsidRPr="00CE2474">
        <w:rPr>
          <w:rFonts w:ascii="Times New Roman" w:hAnsi="Times New Roman" w:cs="Times New Roman"/>
          <w:sz w:val="23"/>
          <w:szCs w:val="23"/>
        </w:rPr>
        <w:t xml:space="preserve">, por meio do </w:t>
      </w:r>
      <w:r w:rsidRPr="00CE2474">
        <w:rPr>
          <w:rFonts w:ascii="Times New Roman" w:hAnsi="Times New Roman" w:cs="Times New Roman"/>
          <w:b/>
          <w:bCs/>
          <w:sz w:val="23"/>
          <w:szCs w:val="23"/>
        </w:rPr>
        <w:t>SISTEMA DE REGISTRO DE PREÇOS</w:t>
      </w:r>
      <w:r w:rsidRPr="00CE2474">
        <w:rPr>
          <w:rFonts w:ascii="Times New Roman" w:hAnsi="Times New Roman" w:cs="Times New Roman"/>
          <w:sz w:val="23"/>
          <w:szCs w:val="23"/>
        </w:rPr>
        <w:t>, nos termos da Lei n.º 14.133, de 1º de abril de 2021, do Decreto Municipal n.º 14.730/2023, demais legislações aplicáveis e, ainda, de acordo com as condições estabelecidas neste Edital.</w:t>
      </w:r>
      <w:bookmarkEnd w:id="1"/>
    </w:p>
    <w:p w14:paraId="56C91D42" w14:textId="77777777" w:rsidR="00D81286" w:rsidRPr="00CE2474" w:rsidRDefault="00D81286" w:rsidP="00D81286">
      <w:pPr>
        <w:pStyle w:val="Nivel01"/>
        <w:rPr>
          <w:sz w:val="23"/>
          <w:szCs w:val="23"/>
        </w:rPr>
      </w:pPr>
      <w:bookmarkStart w:id="2" w:name="_Toc135469223"/>
      <w:bookmarkStart w:id="3" w:name="_Toc179572861"/>
      <w:r w:rsidRPr="00CE2474">
        <w:rPr>
          <w:sz w:val="23"/>
          <w:szCs w:val="23"/>
        </w:rPr>
        <w:t>DO OBJETO</w:t>
      </w:r>
      <w:bookmarkEnd w:id="2"/>
      <w:bookmarkEnd w:id="3"/>
    </w:p>
    <w:p w14:paraId="48BF1E99" w14:textId="02A0F99E" w:rsidR="009A0A8E" w:rsidRPr="00CE2474" w:rsidRDefault="00D81286" w:rsidP="009A0A8E">
      <w:pPr>
        <w:pStyle w:val="Normal1"/>
        <w:numPr>
          <w:ilvl w:val="1"/>
          <w:numId w:val="1"/>
        </w:numPr>
        <w:pBdr>
          <w:top w:val="nil"/>
          <w:left w:val="nil"/>
          <w:bottom w:val="nil"/>
          <w:right w:val="nil"/>
          <w:between w:val="nil"/>
        </w:pBdr>
        <w:spacing w:before="240" w:line="276" w:lineRule="auto"/>
        <w:ind w:left="0" w:firstLine="0"/>
        <w:jc w:val="both"/>
        <w:rPr>
          <w:rFonts w:ascii="Times New Roman" w:hAnsi="Times New Roman" w:cs="Times New Roman"/>
          <w:sz w:val="23"/>
          <w:szCs w:val="23"/>
        </w:rPr>
      </w:pPr>
      <w:r w:rsidRPr="00CE2474">
        <w:rPr>
          <w:rFonts w:ascii="Times New Roman" w:hAnsi="Times New Roman" w:cs="Times New Roman"/>
          <w:sz w:val="23"/>
          <w:szCs w:val="23"/>
        </w:rPr>
        <w:t xml:space="preserve">O objeto da presente licitação, na modalidade pregão eletrônico, por meio do Sistema de Registro de Preços, é a aquisição de </w:t>
      </w:r>
      <w:r w:rsidR="00C54DFD" w:rsidRPr="00CE2474">
        <w:rPr>
          <w:rFonts w:ascii="Times New Roman" w:hAnsi="Times New Roman" w:cs="Times New Roman"/>
          <w:b/>
          <w:bCs/>
          <w:sz w:val="23"/>
          <w:szCs w:val="23"/>
        </w:rPr>
        <w:t>equipamentos odontológicos</w:t>
      </w:r>
      <w:r w:rsidRPr="00CE2474">
        <w:rPr>
          <w:rFonts w:ascii="Times New Roman" w:eastAsia="Montserrat" w:hAnsi="Times New Roman" w:cs="Times New Roman"/>
          <w:sz w:val="23"/>
          <w:szCs w:val="23"/>
        </w:rPr>
        <w:t>,</w:t>
      </w:r>
      <w:r w:rsidRPr="00CE2474">
        <w:rPr>
          <w:rFonts w:ascii="Times New Roman" w:hAnsi="Times New Roman" w:cs="Times New Roman"/>
          <w:sz w:val="23"/>
          <w:szCs w:val="23"/>
        </w:rPr>
        <w:t xml:space="preserve"> para atender às demandas da Fundação Estatal de Saúde de Niterói (FeSaúde), conforme condições, quantidades e exigências estabelecidas neste Edital e seus anexos.</w:t>
      </w:r>
      <w:bookmarkStart w:id="4" w:name="_Toc179572862"/>
    </w:p>
    <w:p w14:paraId="412E67FA" w14:textId="754A918F" w:rsidR="009A0A8E" w:rsidRPr="00CE2474" w:rsidRDefault="009A0A8E" w:rsidP="009A0A8E">
      <w:pPr>
        <w:pStyle w:val="Normal1"/>
        <w:numPr>
          <w:ilvl w:val="1"/>
          <w:numId w:val="1"/>
        </w:numPr>
        <w:pBdr>
          <w:top w:val="nil"/>
          <w:left w:val="nil"/>
          <w:bottom w:val="nil"/>
          <w:right w:val="nil"/>
          <w:between w:val="nil"/>
        </w:pBdr>
        <w:spacing w:before="240" w:line="276" w:lineRule="auto"/>
        <w:ind w:left="0" w:firstLine="0"/>
        <w:jc w:val="both"/>
        <w:rPr>
          <w:rFonts w:ascii="Times New Roman" w:hAnsi="Times New Roman" w:cs="Times New Roman"/>
          <w:sz w:val="23"/>
          <w:szCs w:val="23"/>
        </w:rPr>
      </w:pPr>
      <w:r w:rsidRPr="00CE2474">
        <w:rPr>
          <w:rFonts w:ascii="Times New Roman" w:hAnsi="Times New Roman" w:cs="Times New Roman"/>
          <w:sz w:val="23"/>
          <w:szCs w:val="23"/>
        </w:rPr>
        <w:t>A licitação será dividida em itens, conforme tabela constante do Termo de Referência, facultando-se ao licitante a participação em quantos itens forem de seu interesse.</w:t>
      </w:r>
    </w:p>
    <w:p w14:paraId="67685EF3" w14:textId="77777777" w:rsidR="00D81286" w:rsidRPr="00CE2474" w:rsidRDefault="00D81286" w:rsidP="00D81286">
      <w:pPr>
        <w:pStyle w:val="Nivel01"/>
        <w:rPr>
          <w:sz w:val="23"/>
          <w:szCs w:val="23"/>
        </w:rPr>
      </w:pPr>
      <w:r w:rsidRPr="00CE2474">
        <w:rPr>
          <w:sz w:val="23"/>
          <w:szCs w:val="23"/>
        </w:rPr>
        <w:t>DO REGISTRO DE PREÇOS</w:t>
      </w:r>
      <w:bookmarkEnd w:id="4"/>
    </w:p>
    <w:p w14:paraId="2A0F82EB" w14:textId="77777777" w:rsidR="00D81286" w:rsidRPr="00CE2474" w:rsidRDefault="00D81286" w:rsidP="00D81286">
      <w:pPr>
        <w:pStyle w:val="Normal1"/>
        <w:numPr>
          <w:ilvl w:val="1"/>
          <w:numId w:val="3"/>
        </w:numPr>
        <w:pBdr>
          <w:top w:val="nil"/>
          <w:left w:val="nil"/>
          <w:bottom w:val="nil"/>
          <w:right w:val="nil"/>
          <w:between w:val="nil"/>
        </w:pBdr>
        <w:tabs>
          <w:tab w:val="left" w:pos="0"/>
        </w:tabs>
        <w:spacing w:before="240" w:line="276" w:lineRule="auto"/>
        <w:ind w:left="0" w:firstLine="0"/>
        <w:jc w:val="both"/>
        <w:rPr>
          <w:rFonts w:ascii="Times New Roman" w:hAnsi="Times New Roman" w:cs="Times New Roman"/>
          <w:sz w:val="23"/>
          <w:szCs w:val="23"/>
        </w:rPr>
      </w:pPr>
      <w:bookmarkStart w:id="5" w:name="_Toc135469250"/>
      <w:r w:rsidRPr="00CE2474">
        <w:rPr>
          <w:rFonts w:ascii="Times New Roman" w:hAnsi="Times New Roman" w:cs="Times New Roman"/>
          <w:sz w:val="23"/>
          <w:szCs w:val="23"/>
        </w:rPr>
        <w:t>As regras referentes ao órgão gerenciador e participante, bem como a eventuais adesões são as que constam da minuta de Ata de Registro de Preços.</w:t>
      </w:r>
    </w:p>
    <w:p w14:paraId="301E47C4" w14:textId="77777777" w:rsidR="00D81286" w:rsidRPr="00CE2474" w:rsidRDefault="00D81286" w:rsidP="00D81286">
      <w:pPr>
        <w:pStyle w:val="Nivel01"/>
        <w:rPr>
          <w:sz w:val="23"/>
          <w:szCs w:val="23"/>
        </w:rPr>
      </w:pPr>
      <w:bookmarkStart w:id="6" w:name="_Toc135469251"/>
      <w:bookmarkStart w:id="7" w:name="_Toc179572863"/>
      <w:bookmarkEnd w:id="5"/>
      <w:r w:rsidRPr="00CE2474">
        <w:rPr>
          <w:sz w:val="23"/>
          <w:szCs w:val="23"/>
        </w:rPr>
        <w:t>DA PARTICIPAÇÃO NA LICITAÇÃO</w:t>
      </w:r>
      <w:bookmarkEnd w:id="6"/>
      <w:bookmarkEnd w:id="7"/>
    </w:p>
    <w:p w14:paraId="14B3EE3E"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bookmarkStart w:id="8" w:name="_Hlk135302270"/>
      <w:bookmarkStart w:id="9" w:name="_Ref117000692"/>
      <w:r w:rsidRPr="00CE2474">
        <w:rPr>
          <w:rFonts w:ascii="Times New Roman" w:hAnsi="Times New Roman" w:cs="Times New Roman"/>
          <w:sz w:val="23"/>
          <w:szCs w:val="23"/>
        </w:rPr>
        <w:t xml:space="preserve">Poderão participar desta licitação os interessados que estiverem previamente credenciados no Sistema de Cadastramento Unificado de Fornecedores - SICAF e no Sistema de Compras do Governo Federal </w:t>
      </w:r>
      <w:r w:rsidRPr="00CE2474">
        <w:rPr>
          <w:rFonts w:ascii="Times New Roman" w:hAnsi="Times New Roman" w:cs="Times New Roman"/>
          <w:color w:val="auto"/>
          <w:sz w:val="23"/>
          <w:szCs w:val="23"/>
        </w:rPr>
        <w:t>(</w:t>
      </w:r>
      <w:hyperlink r:id="rId11" w:history="1">
        <w:r w:rsidRPr="00CE2474">
          <w:rPr>
            <w:rStyle w:val="Hyperlink"/>
            <w:rFonts w:ascii="Times New Roman" w:hAnsi="Times New Roman" w:cs="Times New Roman"/>
            <w:color w:val="auto"/>
            <w:sz w:val="23"/>
            <w:szCs w:val="23"/>
          </w:rPr>
          <w:t>www.gov.br/compras</w:t>
        </w:r>
      </w:hyperlink>
      <w:r w:rsidRPr="00CE2474">
        <w:rPr>
          <w:rFonts w:ascii="Times New Roman" w:hAnsi="Times New Roman" w:cs="Times New Roman"/>
          <w:sz w:val="23"/>
          <w:szCs w:val="23"/>
        </w:rPr>
        <w:t>)</w:t>
      </w:r>
      <w:bookmarkEnd w:id="8"/>
      <w:r w:rsidRPr="00CE2474">
        <w:rPr>
          <w:rFonts w:ascii="Times New Roman" w:hAnsi="Times New Roman" w:cs="Times New Roman"/>
          <w:sz w:val="23"/>
          <w:szCs w:val="23"/>
        </w:rPr>
        <w:t xml:space="preserve"> no sistema de compras do governo federal (www.gov.br/compras), por meio de Certificado Digital conferido pela Infraestrutura de Chaves Públicas Brasileira – ICP – Brasil.</w:t>
      </w:r>
    </w:p>
    <w:p w14:paraId="55C7714D"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w:t>
      </w:r>
      <w:bookmarkStart w:id="10" w:name="_Hlk135304247"/>
      <w:r w:rsidRPr="00CE2474">
        <w:rPr>
          <w:rFonts w:ascii="Times New Roman" w:hAnsi="Times New Roman" w:cs="Times New Roman"/>
          <w:sz w:val="23"/>
          <w:szCs w:val="23"/>
        </w:rPr>
        <w:t>s interessados deverão atender às condições exigidas no cadastramento no SICAF até o terceiro dia útil anterior à data prevista para recebimento das propostas.</w:t>
      </w:r>
    </w:p>
    <w:p w14:paraId="5F527A53"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procedimento será divulgado no sítio eletrônico mencionado no item 2.1 e no Portal Nacional de Contratações Públicas – PNCP.</w:t>
      </w:r>
      <w:bookmarkEnd w:id="10"/>
    </w:p>
    <w:p w14:paraId="7A2BBCCF"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licitante responsabiliza-se exclusiva e formalmente pelas transações efetuadas em seu nome, assume como firmes e verdadeiras suas propostas e seus lances, inclusive os atos praticados diretamente ou por seu representante, excluídos a responsabilidade do provedor do sistema ou do órgão ou entidade promotora da licitação por eventuais danos decorrentes de uso indevido das credenciais de acesso, ainda que por terceiros.</w:t>
      </w:r>
    </w:p>
    <w:p w14:paraId="7AF7384C"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937B969"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 não observância do disposto no item anterior poderá ensejar desclassificação no momento da habilitação.</w:t>
      </w:r>
    </w:p>
    <w:p w14:paraId="69D0F072"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Não haverá cota destinada às ME/EPP e não haverá exclusividade para as ME/EPP.</w:t>
      </w:r>
    </w:p>
    <w:p w14:paraId="0FA536A2"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Não se veda a participação de cooperativa.</w:t>
      </w:r>
    </w:p>
    <w:p w14:paraId="502DA9EF"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Não poderão disputar esta licitação:</w:t>
      </w:r>
      <w:bookmarkEnd w:id="9"/>
    </w:p>
    <w:p w14:paraId="02DD21CD"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bookmarkStart w:id="11" w:name="_Ref113883338"/>
      <w:r w:rsidRPr="00CE2474">
        <w:rPr>
          <w:rFonts w:ascii="Times New Roman" w:hAnsi="Times New Roman" w:cs="Times New Roman"/>
          <w:sz w:val="23"/>
          <w:szCs w:val="23"/>
        </w:rPr>
        <w:t>Aquele que não atenda às condições deste Edital e seu(s) anexo(s);</w:t>
      </w:r>
      <w:bookmarkStart w:id="12" w:name="_Ref114659912"/>
    </w:p>
    <w:p w14:paraId="78665F21"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Autor do anteprojeto, do projeto básico ou do projeto executivo, pessoa física ou jurídica, quando a licitação versar sobre serviços ou fornecimento de bens a ele relacionados;</w:t>
      </w:r>
      <w:bookmarkStart w:id="13" w:name="_Ref114659913"/>
      <w:bookmarkStart w:id="14" w:name="_Ref113883339"/>
      <w:bookmarkEnd w:id="11"/>
      <w:bookmarkEnd w:id="12"/>
    </w:p>
    <w:p w14:paraId="0A5C74E6"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Start w:id="15" w:name="_Ref113883003"/>
      <w:bookmarkEnd w:id="13"/>
      <w:bookmarkEnd w:id="14"/>
    </w:p>
    <w:p w14:paraId="17FD41FF"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Pessoa física ou jurídica que se encontre, ao tempo da licitação, impossibilitada de participar da licitação em decorrência de sanção que lhe foi imposta;</w:t>
      </w:r>
      <w:bookmarkEnd w:id="15"/>
    </w:p>
    <w:p w14:paraId="69D98E14"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6" w:name="_Ref113883579"/>
    </w:p>
    <w:p w14:paraId="5A2C892E"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Empresas controladoras, controladas ou coligadas, nos termos da Lei nº 6.404, de 15 de dezembro de 1976, concorrendo entre si;</w:t>
      </w:r>
      <w:bookmarkEnd w:id="16"/>
    </w:p>
    <w:p w14:paraId="79978379"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7" w:name="_Ref113962336"/>
    </w:p>
    <w:p w14:paraId="449BAA06"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Agente público do órgão ou entidade licitante, </w:t>
      </w:r>
      <w:r w:rsidRPr="00CE2474">
        <w:rPr>
          <w:rFonts w:ascii="Times New Roman" w:hAnsi="Times New Roman" w:cs="Times New Roman"/>
          <w:iCs/>
          <w:sz w:val="23"/>
          <w:szCs w:val="23"/>
        </w:rPr>
        <w:t>na qualidade de pessoa física ou de representante de pessoa jurídica;</w:t>
      </w:r>
      <w:bookmarkEnd w:id="17"/>
    </w:p>
    <w:p w14:paraId="22D685C4"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color w:val="auto"/>
          <w:sz w:val="23"/>
          <w:szCs w:val="23"/>
        </w:rPr>
        <w:t>Organizações da Sociedade Civil de Interesse Público - OSCIP, atuando nessa condição;</w:t>
      </w:r>
    </w:p>
    <w:p w14:paraId="1AD68506" w14:textId="77777777" w:rsidR="00D81286" w:rsidRPr="00CE2474" w:rsidRDefault="00D81286" w:rsidP="00D81286">
      <w:pPr>
        <w:pStyle w:val="Nivel3"/>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w:t>
      </w:r>
      <w:r w:rsidRPr="00CE2474">
        <w:rPr>
          <w:rFonts w:ascii="Times New Roman" w:hAnsi="Times New Roman" w:cs="Times New Roman"/>
          <w:color w:val="auto"/>
          <w:sz w:val="23"/>
          <w:szCs w:val="23"/>
        </w:rPr>
        <w:t xml:space="preserve">conforme </w:t>
      </w:r>
      <w:hyperlink r:id="rId12" w:anchor="art9§1" w:history="1">
        <w:r w:rsidRPr="00CE2474">
          <w:rPr>
            <w:rStyle w:val="Hyperlink"/>
            <w:rFonts w:ascii="Times New Roman" w:hAnsi="Times New Roman" w:cs="Times New Roman"/>
            <w:color w:val="auto"/>
            <w:sz w:val="23"/>
            <w:szCs w:val="23"/>
          </w:rPr>
          <w:t>§ 1º do art. 9º da Lei nº 14.133, de 2021</w:t>
        </w:r>
      </w:hyperlink>
      <w:r w:rsidRPr="00CE2474">
        <w:rPr>
          <w:rFonts w:ascii="Times New Roman" w:hAnsi="Times New Roman" w:cs="Times New Roman"/>
          <w:color w:val="auto"/>
          <w:sz w:val="23"/>
          <w:szCs w:val="23"/>
        </w:rPr>
        <w:t>.</w:t>
      </w:r>
    </w:p>
    <w:p w14:paraId="32BA0255" w14:textId="65FC420F"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 impedimento de que trata o item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_Ref113883003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3.7.3</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será também </w:t>
      </w:r>
      <w:proofErr w:type="gramStart"/>
      <w:r w:rsidRPr="00CE2474">
        <w:rPr>
          <w:rFonts w:ascii="Times New Roman" w:hAnsi="Times New Roman" w:cs="Times New Roman"/>
          <w:sz w:val="23"/>
          <w:szCs w:val="23"/>
        </w:rPr>
        <w:t>aplicado</w:t>
      </w:r>
      <w:proofErr w:type="gramEnd"/>
      <w:r w:rsidRPr="00CE2474">
        <w:rPr>
          <w:rFonts w:ascii="Times New Roman" w:hAnsi="Times New Roman" w:cs="Times New Roman"/>
          <w:sz w:val="23"/>
          <w:szCs w:val="23"/>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8" w:name="art14§2"/>
      <w:bookmarkEnd w:id="18"/>
    </w:p>
    <w:p w14:paraId="24F857D7" w14:textId="07BE7432"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 critério da Administração e exclusivamente a seu serviço, o autor dos projetos e a empresa a que se referem os itens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_Ref114659912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3.7.1</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_Ref114659913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3.7.2</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poderão participar no apoio das atividades de planejamento da contratação, de execução da licitação ou de gestão do contrato, desde que </w:t>
      </w:r>
      <w:proofErr w:type="gramStart"/>
      <w:r w:rsidRPr="00CE2474">
        <w:rPr>
          <w:rFonts w:ascii="Times New Roman" w:hAnsi="Times New Roman" w:cs="Times New Roman"/>
          <w:sz w:val="23"/>
          <w:szCs w:val="23"/>
        </w:rPr>
        <w:t>sob supervisão</w:t>
      </w:r>
      <w:proofErr w:type="gramEnd"/>
      <w:r w:rsidRPr="00CE2474">
        <w:rPr>
          <w:rFonts w:ascii="Times New Roman" w:hAnsi="Times New Roman" w:cs="Times New Roman"/>
          <w:sz w:val="23"/>
          <w:szCs w:val="23"/>
        </w:rPr>
        <w:t xml:space="preserve"> exclusiva de agentes públicos do órgão ou entidade.</w:t>
      </w:r>
      <w:bookmarkStart w:id="19" w:name="art14§3"/>
      <w:bookmarkEnd w:id="19"/>
    </w:p>
    <w:p w14:paraId="664E883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Equiparam-se aos autores do projeto as empresas integrantes do mesmo grupo econômico.</w:t>
      </w:r>
      <w:bookmarkStart w:id="20" w:name="art14§4"/>
      <w:bookmarkEnd w:id="20"/>
    </w:p>
    <w:p w14:paraId="6DCD10F4" w14:textId="35705740"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 disposto nos itens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_Ref114659912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3.7.1</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_Ref114659913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3.7.2</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não impedem a licitação ou a contratação de serviço que inclua como encargo do contratado a elaboração do projeto básico e do projeto executivo, nas contratações integradas, e do projeto executivo, nos demais regimes de execução.</w:t>
      </w:r>
      <w:bookmarkStart w:id="21" w:name="art14§5"/>
      <w:bookmarkEnd w:id="21"/>
    </w:p>
    <w:p w14:paraId="6F105274"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w:t>
      </w:r>
      <w:r w:rsidRPr="00CE2474">
        <w:rPr>
          <w:rFonts w:ascii="Times New Roman" w:hAnsi="Times New Roman" w:cs="Times New Roman"/>
          <w:color w:val="auto"/>
          <w:sz w:val="23"/>
          <w:szCs w:val="23"/>
        </w:rPr>
        <w:t xml:space="preserve">da </w:t>
      </w:r>
      <w:hyperlink r:id="rId13" w:history="1">
        <w:r w:rsidRPr="00CE2474">
          <w:rPr>
            <w:rStyle w:val="Hyperlink"/>
            <w:rFonts w:ascii="Times New Roman" w:hAnsi="Times New Roman" w:cs="Times New Roman"/>
            <w:color w:val="auto"/>
            <w:sz w:val="23"/>
            <w:szCs w:val="23"/>
          </w:rPr>
          <w:t>Lei nº 14.133/2021</w:t>
        </w:r>
      </w:hyperlink>
      <w:r w:rsidRPr="00CE2474">
        <w:rPr>
          <w:rFonts w:ascii="Times New Roman" w:hAnsi="Times New Roman" w:cs="Times New Roman"/>
          <w:sz w:val="23"/>
          <w:szCs w:val="23"/>
        </w:rPr>
        <w:t>.</w:t>
      </w:r>
    </w:p>
    <w:p w14:paraId="6038290B" w14:textId="164CD5F1"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 vedação de que trata o item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_Ref113962336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3.7.7</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estende-se a terceiro que auxilie a condução da contratação na qualidade de integrante de equipe de apoio, profissional especializado ou funcionário ou representante de empresa que preste assessoria técnica.</w:t>
      </w:r>
    </w:p>
    <w:p w14:paraId="658B8367" w14:textId="075B56C4"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Não será admitida a participação de pessoas jurídicas em consórcio, qualquer que seja sua forma de constituição, </w:t>
      </w:r>
      <w:bookmarkStart w:id="22" w:name="_Hlk223626562"/>
      <w:r w:rsidRPr="00CE2474">
        <w:rPr>
          <w:rFonts w:ascii="Times New Roman" w:hAnsi="Times New Roman" w:cs="Times New Roman"/>
          <w:sz w:val="23"/>
          <w:szCs w:val="23"/>
        </w:rPr>
        <w:t>por não se tratar de contratação complexa ou de alto vulto, bem como pela decisão de parcelamento da solução em itens, com base no Acórdão 1.165/2012 do e. Tribunal de Contas da União (TCU)</w:t>
      </w:r>
      <w:r w:rsidR="00676C2D" w:rsidRPr="00CE2474">
        <w:rPr>
          <w:rFonts w:ascii="Times New Roman" w:hAnsi="Times New Roman" w:cs="Times New Roman"/>
          <w:sz w:val="23"/>
          <w:szCs w:val="23"/>
        </w:rPr>
        <w:t>.</w:t>
      </w:r>
    </w:p>
    <w:bookmarkEnd w:id="22"/>
    <w:p w14:paraId="561C546D" w14:textId="7F923C70" w:rsidR="00676C2D" w:rsidRPr="00CE2474" w:rsidRDefault="00CE2474" w:rsidP="00614154">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w:t>
      </w:r>
      <w:r w:rsidR="00614154" w:rsidRPr="00CE2474">
        <w:rPr>
          <w:rFonts w:ascii="Times New Roman" w:hAnsi="Times New Roman" w:cs="Times New Roman"/>
          <w:sz w:val="23"/>
          <w:szCs w:val="23"/>
        </w:rPr>
        <w:t xml:space="preserve"> caso do objeto que se busca licitar, haja vista que os bens/serviços licitados podem ser considerados comuns de mercado, sem qualquer complexidade técnica que remonte a necessidade de conjunção de esforços para que o interesse público possa ser satisfeito. É importante frisar que a vedação à participação de empesas em consórcio não tem o condão de restringir à competitividade, mas, ao contrário, aumentá-la, ao passo que haverá um maior número de empresas participando individualmente, o que ocasiona um acaloramento competitivo entre os licitantes (Acórdão TCU n.º 566/2006-Plenário).</w:t>
      </w:r>
    </w:p>
    <w:p w14:paraId="343D02A6" w14:textId="77777777" w:rsidR="00D81286" w:rsidRPr="00CE2474" w:rsidRDefault="00D81286" w:rsidP="00D81286">
      <w:pPr>
        <w:pStyle w:val="Nivel01"/>
        <w:rPr>
          <w:sz w:val="23"/>
          <w:szCs w:val="23"/>
        </w:rPr>
      </w:pPr>
      <w:bookmarkStart w:id="23" w:name="_Toc135469252"/>
      <w:bookmarkStart w:id="24" w:name="_Toc179572864"/>
      <w:r w:rsidRPr="00CE2474">
        <w:rPr>
          <w:sz w:val="23"/>
          <w:szCs w:val="23"/>
        </w:rPr>
        <w:lastRenderedPageBreak/>
        <w:t>DA APRESENTAÇÃO DA PROPOSTA E DOS DOCUMENTOS DE HABILITAÇÃO</w:t>
      </w:r>
      <w:bookmarkEnd w:id="23"/>
      <w:bookmarkEnd w:id="24"/>
    </w:p>
    <w:p w14:paraId="239B7A4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Na presente licitação, a fase de habilitação sucederá as fases de apresentação de propostas e lances e de julgamento.</w:t>
      </w:r>
    </w:p>
    <w:p w14:paraId="1EAF3683"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bookmarkStart w:id="25" w:name="_Ref113886867"/>
      <w:r w:rsidRPr="00CE2474">
        <w:rPr>
          <w:rFonts w:ascii="Times New Roman" w:hAnsi="Times New Roman" w:cs="Times New Roman"/>
          <w:sz w:val="23"/>
          <w:szCs w:val="23"/>
        </w:rPr>
        <w:t>Os licitantes encaminharão, exclusivamente por meio do sistema eletrônico, a proposta com o preço ou o percentual de desconto, conforme o critério de julgamento adotado neste Edital, até a data e o horário estabelecidos para abertura da sessão pública.</w:t>
      </w:r>
      <w:bookmarkStart w:id="26" w:name="_Ref113968921"/>
      <w:bookmarkEnd w:id="25"/>
    </w:p>
    <w:p w14:paraId="42CAF9F6"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No cadastramento da proposta inicial, o licitante declarará, em campo próprio do sistema, que:</w:t>
      </w:r>
      <w:bookmarkEnd w:id="26"/>
    </w:p>
    <w:p w14:paraId="7FE418F2"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C9E0029"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Não emprega menor de 18 anos em trabalho noturno, perigoso ou insalubre e não emprega menor de 16 anos, salvo menor, a partir de 14 anos, na condição de aprendiz, nos termos do </w:t>
      </w:r>
      <w:hyperlink r:id="rId14" w:anchor="art7" w:history="1">
        <w:r w:rsidRPr="00CE2474">
          <w:rPr>
            <w:rStyle w:val="Hyperlink"/>
            <w:rFonts w:ascii="Times New Roman" w:hAnsi="Times New Roman" w:cs="Times New Roman"/>
            <w:color w:val="auto"/>
            <w:sz w:val="23"/>
            <w:szCs w:val="23"/>
          </w:rPr>
          <w:t>artigo 7°, XXXIII, da Constituição</w:t>
        </w:r>
      </w:hyperlink>
      <w:r w:rsidRPr="00CE2474">
        <w:rPr>
          <w:rFonts w:ascii="Times New Roman" w:hAnsi="Times New Roman" w:cs="Times New Roman"/>
          <w:color w:val="auto"/>
          <w:sz w:val="23"/>
          <w:szCs w:val="23"/>
        </w:rPr>
        <w:t>;</w:t>
      </w:r>
    </w:p>
    <w:p w14:paraId="047915AA"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Não possuir empregados executando trabalhos degradantes ou forçados, observando o disposto nos </w:t>
      </w:r>
      <w:hyperlink r:id="rId15" w:history="1">
        <w:r w:rsidRPr="00CE2474">
          <w:rPr>
            <w:rStyle w:val="Hyperlink"/>
            <w:rFonts w:ascii="Times New Roman" w:hAnsi="Times New Roman" w:cs="Times New Roman"/>
            <w:color w:val="auto"/>
            <w:sz w:val="23"/>
            <w:szCs w:val="23"/>
          </w:rPr>
          <w:t>incisos III e IV do art. 1º e no inciso III do art. 5º da Constituição Federal</w:t>
        </w:r>
      </w:hyperlink>
      <w:r w:rsidRPr="00CE2474">
        <w:rPr>
          <w:rFonts w:ascii="Times New Roman" w:hAnsi="Times New Roman" w:cs="Times New Roman"/>
          <w:color w:val="auto"/>
          <w:sz w:val="23"/>
          <w:szCs w:val="23"/>
        </w:rPr>
        <w:t>;</w:t>
      </w:r>
    </w:p>
    <w:p w14:paraId="3440DC79"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Cumpre as exigências de reserva de cargos para pessoa com deficiência e para reabilitado da Previdência Social, previstas em lei e em outras normas específicas.</w:t>
      </w:r>
    </w:p>
    <w:p w14:paraId="3756CCE6"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 licitante organizado em cooperativa deverá declarar, ainda, em campo próprio do sistema eletrônico, que cumpre os requisitos estabelecidos no </w:t>
      </w:r>
      <w:hyperlink r:id="rId16" w:anchor="art16" w:history="1">
        <w:r w:rsidRPr="00CE2474">
          <w:rPr>
            <w:rFonts w:ascii="Times New Roman" w:hAnsi="Times New Roman" w:cs="Times New Roman"/>
            <w:sz w:val="23"/>
            <w:szCs w:val="23"/>
          </w:rPr>
          <w:t>artigo 16 da Lei nº 14.133, de 2021</w:t>
        </w:r>
      </w:hyperlink>
      <w:r w:rsidRPr="00CE2474">
        <w:rPr>
          <w:rFonts w:ascii="Times New Roman" w:hAnsi="Times New Roman" w:cs="Times New Roman"/>
          <w:sz w:val="23"/>
          <w:szCs w:val="23"/>
        </w:rPr>
        <w:t>.</w:t>
      </w:r>
    </w:p>
    <w:p w14:paraId="17FF5D36"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Nos itens em que a participação não for exclusiva para microempresas e empresas de pequeno porte, a assinalação do campo “não” apenas produzirá o efeito de o licitante não ter direito ao tratamento favorecido previsto na </w:t>
      </w:r>
      <w:hyperlink r:id="rId17" w:history="1">
        <w:r w:rsidRPr="00CE2474">
          <w:rPr>
            <w:rFonts w:ascii="Times New Roman" w:hAnsi="Times New Roman" w:cs="Times New Roman"/>
            <w:sz w:val="23"/>
            <w:szCs w:val="23"/>
          </w:rPr>
          <w:t>Lei Complementar nº 123, de 2006</w:t>
        </w:r>
      </w:hyperlink>
      <w:r w:rsidRPr="00CE2474">
        <w:rPr>
          <w:rFonts w:ascii="Times New Roman" w:hAnsi="Times New Roman" w:cs="Times New Roman"/>
          <w:sz w:val="23"/>
          <w:szCs w:val="23"/>
        </w:rPr>
        <w:t>, mesmo que microempresa, empresa de pequeno porte ou sociedade cooperativa.</w:t>
      </w:r>
    </w:p>
    <w:p w14:paraId="3AA7A94C"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 falsidade da declaração de que trata os itens 4.3 e seguintes sujeitará o licitante às sanções previstas na </w:t>
      </w:r>
      <w:hyperlink r:id="rId18" w:history="1">
        <w:r w:rsidRPr="00CE2474">
          <w:rPr>
            <w:rFonts w:ascii="Times New Roman" w:hAnsi="Times New Roman" w:cs="Times New Roman"/>
            <w:sz w:val="23"/>
            <w:szCs w:val="23"/>
          </w:rPr>
          <w:t>Lei nº 14.133, de 2021</w:t>
        </w:r>
      </w:hyperlink>
      <w:r w:rsidRPr="00CE2474">
        <w:rPr>
          <w:rFonts w:ascii="Times New Roman" w:hAnsi="Times New Roman" w:cs="Times New Roman"/>
          <w:sz w:val="23"/>
          <w:szCs w:val="23"/>
        </w:rPr>
        <w:t>, e neste Edital.</w:t>
      </w:r>
    </w:p>
    <w:p w14:paraId="4D16A9C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97C9AC6"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3C4A8974"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Serão disponibilizados para acesso público os documentos que compõem a proposta dos licitantes convocados para apresentação de propostas, após a fase de envio de lances.</w:t>
      </w:r>
    </w:p>
    <w:p w14:paraId="1287F3CC"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bookmarkStart w:id="27" w:name="_Ref116992247"/>
      <w:r w:rsidRPr="00CE2474">
        <w:rPr>
          <w:rFonts w:ascii="Times New Roman" w:hAnsi="Times New Roman" w:cs="Times New Roman"/>
          <w:sz w:val="23"/>
          <w:szCs w:val="23"/>
        </w:rPr>
        <w:t>Desde que disponibilizada a funcionalidade no sistema, o licitante poderá parametrizar o seu valor final mínimo ou o seu percentual de desconto máximo quando do cadastramento da proposta e obedecerá às seguintes regras:</w:t>
      </w:r>
      <w:bookmarkEnd w:id="27"/>
    </w:p>
    <w:p w14:paraId="04A0859F"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 aplicação do intervalo mínimo de diferença de valores ou de percentuais entre os lances, que incidirá tanto em relação aos lances intermediários quanto em relação ao lance que cobrir a melhor oferta; e</w:t>
      </w:r>
    </w:p>
    <w:p w14:paraId="1D32D432"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Os lances serão de envio automático pelo sistema, respeitado o valor final mínimo, caso estabelecido, e o intervalo de que trata o subitem acima.</w:t>
      </w:r>
    </w:p>
    <w:p w14:paraId="420334D1"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valor final mínimo ou o percentual de desconto final máximo parametrizado no sistema poderá ser alterado pelo fornecedor durante a fase de disputa, sendo vedado:</w:t>
      </w:r>
    </w:p>
    <w:p w14:paraId="100E07AD"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Valor superior a lance já registrado pelo fornecedor no sistema, quando adotado o critério de julgamento por menor preço; e</w:t>
      </w:r>
    </w:p>
    <w:p w14:paraId="054931D9"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Percentual de desconto inferior a lance já registrado pelo fornecedor no sistema, quando adotado o critério de julgamento por maior desconto.</w:t>
      </w:r>
    </w:p>
    <w:p w14:paraId="6409F592" w14:textId="64E4DFDD"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 valor final mínimo ou o percentual de desconto final máximo parametrizado na forma do item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_Ref116992247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4.10</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possuirá caráter sigiloso para os demais fornecedores e para o órgão ou entidade promotora da licitação, podendo ser disponibilizado estrita e permanentemente aos órgãos de controle externo e interno.</w:t>
      </w:r>
    </w:p>
    <w:p w14:paraId="6D1ED487"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52CC2DDC"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licitante deverá comunicar imediatamente ao provedor do sistema qualquer acontecimento que possa comprometer o sigilo ou a segurança, para imediato bloqueio de acesso.</w:t>
      </w:r>
    </w:p>
    <w:p w14:paraId="7E0843A2" w14:textId="77777777" w:rsidR="00D81286" w:rsidRPr="00CE2474" w:rsidRDefault="00D81286" w:rsidP="00D81286">
      <w:pPr>
        <w:pStyle w:val="Nivel01"/>
        <w:rPr>
          <w:sz w:val="23"/>
          <w:szCs w:val="23"/>
        </w:rPr>
      </w:pPr>
      <w:bookmarkStart w:id="28" w:name="_Toc135469253"/>
      <w:bookmarkStart w:id="29" w:name="_Toc179572865"/>
      <w:r w:rsidRPr="00CE2474">
        <w:rPr>
          <w:sz w:val="23"/>
          <w:szCs w:val="23"/>
        </w:rPr>
        <w:t>DO PREENCHIMENTO DA PROPOSTA</w:t>
      </w:r>
      <w:bookmarkEnd w:id="28"/>
      <w:bookmarkEnd w:id="29"/>
    </w:p>
    <w:p w14:paraId="1E17A194"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licitante deverá enviar sua proposta mediante o preenchimento, no sistema eletrônico, dos seguintes campos:</w:t>
      </w:r>
    </w:p>
    <w:p w14:paraId="0B9E6AD5" w14:textId="623743E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iCs/>
          <w:color w:val="auto"/>
          <w:sz w:val="23"/>
          <w:szCs w:val="23"/>
        </w:rPr>
        <w:t>Valor (unitário, total) d</w:t>
      </w:r>
      <w:r w:rsidR="00710505" w:rsidRPr="00CE2474">
        <w:rPr>
          <w:rFonts w:ascii="Times New Roman" w:hAnsi="Times New Roman" w:cs="Times New Roman"/>
          <w:iCs/>
          <w:color w:val="auto"/>
          <w:sz w:val="23"/>
          <w:szCs w:val="23"/>
        </w:rPr>
        <w:t>o item</w:t>
      </w:r>
      <w:r w:rsidRPr="00CE2474">
        <w:rPr>
          <w:rFonts w:ascii="Times New Roman" w:hAnsi="Times New Roman" w:cs="Times New Roman"/>
          <w:iCs/>
          <w:color w:val="auto"/>
          <w:sz w:val="23"/>
          <w:szCs w:val="23"/>
        </w:rPr>
        <w:t>;</w:t>
      </w:r>
    </w:p>
    <w:p w14:paraId="57752C78"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iCs/>
          <w:color w:val="auto"/>
          <w:sz w:val="23"/>
          <w:szCs w:val="23"/>
        </w:rPr>
        <w:lastRenderedPageBreak/>
        <w:t>Marca;</w:t>
      </w:r>
    </w:p>
    <w:p w14:paraId="4537CF2F"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iCs/>
          <w:color w:val="auto"/>
          <w:sz w:val="23"/>
          <w:szCs w:val="23"/>
        </w:rPr>
        <w:t xml:space="preserve">Fabricante; </w:t>
      </w:r>
    </w:p>
    <w:p w14:paraId="091424E1"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iCs/>
          <w:color w:val="auto"/>
          <w:sz w:val="23"/>
          <w:szCs w:val="23"/>
        </w:rPr>
        <w:t>Quantidade cotada</w:t>
      </w:r>
    </w:p>
    <w:p w14:paraId="64D7874E"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Style w:val="eop"/>
          <w:rFonts w:ascii="Times New Roman" w:hAnsi="Times New Roman" w:cs="Times New Roman"/>
          <w:color w:val="auto"/>
          <w:sz w:val="23"/>
          <w:szCs w:val="23"/>
          <w:shd w:val="clear" w:color="auto" w:fill="FFFFFF"/>
        </w:rPr>
        <w:t>Descrição do objeto, contendo as informações similares à especificação do Termo de Referência;</w:t>
      </w:r>
    </w:p>
    <w:p w14:paraId="3B6EA4B0"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Todas as especificações do objeto contidas na proposta vinculam o licitante.</w:t>
      </w:r>
    </w:p>
    <w:p w14:paraId="1EB0B640"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licitante não poderá oferecer proposta em quantitativo inferior ao máximo previsto para a contratação.</w:t>
      </w:r>
    </w:p>
    <w:p w14:paraId="7C4C8592"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Nos valores propostos estarão inclusos todos os custos operacionais, encargos previdenciários, trabalhistas, tributários, comerciais e quaisquer outros que incidam direta ou indiretamente na execução do objeto.</w:t>
      </w:r>
    </w:p>
    <w:p w14:paraId="1EAD2774"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Os preços ofertados, tanto na proposta inicial, quanto na etapa de lances, serão de exclusiva responsabilidade do licitante, não lhe assistindo o direito de pleitear qualquer alteração, sob alegação de erro, omissão ou qualquer outro pretexto.</w:t>
      </w:r>
    </w:p>
    <w:p w14:paraId="73CF58E4"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Se o regime tributário da empresa implicar o recolhimento de tributos em percentuais variáveis, a cotação adequada será a que corresponde à média dos efetivos recolhimentos da empresa nos últimos doze meses. </w:t>
      </w:r>
    </w:p>
    <w:p w14:paraId="7492152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Independentemente do percentual de tributo inserido na planilha, no pagamento serão retidos na fonte os percentuais estabelecidos na legislação vigente.</w:t>
      </w:r>
    </w:p>
    <w:p w14:paraId="2342F3A8"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 Na presente licitação, a Microempresa e a Empresa de Pequeno Porte poderão se beneficiar do regime de tributação pelo Simples Nacional.</w:t>
      </w:r>
    </w:p>
    <w:p w14:paraId="5A8A3033"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267E8E7"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prazo de validade da proposta não será inferior a 60 (sessenta) dias, a contar da data de sua apresentação.</w:t>
      </w:r>
    </w:p>
    <w:p w14:paraId="675E8742"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Os licitantes devem respeitar os preços máximos estabelecidos nas normas de regência de contratações públicas federais, quando participarem de licitações públicas;</w:t>
      </w:r>
    </w:p>
    <w:p w14:paraId="3077E8A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 descumprimento das regras supramencionadas pela Administração por parte dos contratados pode ensejar a responsabilização pelo Tribunal de Contas da União e, após o devido </w:t>
      </w:r>
      <w:r w:rsidRPr="00CE2474">
        <w:rPr>
          <w:rFonts w:ascii="Times New Roman" w:hAnsi="Times New Roman" w:cs="Times New Roman"/>
          <w:sz w:val="23"/>
          <w:szCs w:val="23"/>
        </w:rPr>
        <w:lastRenderedPageBreak/>
        <w:t xml:space="preserve">processo legal, gerar as seguintes consequências: assinatura de prazo para a adoção das medidas necessárias ao exato cumprimento da lei, nos termos do </w:t>
      </w:r>
      <w:hyperlink r:id="rId19" w:history="1">
        <w:r w:rsidRPr="00CE2474">
          <w:rPr>
            <w:rFonts w:ascii="Times New Roman" w:hAnsi="Times New Roman" w:cs="Times New Roman"/>
            <w:sz w:val="23"/>
            <w:szCs w:val="23"/>
          </w:rPr>
          <w:t>art. 71, inciso IX, da Constituição</w:t>
        </w:r>
      </w:hyperlink>
      <w:r w:rsidRPr="00CE2474">
        <w:rPr>
          <w:rFonts w:ascii="Times New Roman" w:hAnsi="Times New Roman" w:cs="Times New Roman"/>
          <w:sz w:val="23"/>
          <w:szCs w:val="23"/>
        </w:rPr>
        <w:t>; ou condenação dos agentes públicos responsáveis e da empresa contratada ao pagamento dos prejuízos ao erário, caso verificada a ocorrência de superfaturamento por sobr</w:t>
      </w:r>
      <w:r w:rsidR="00710505" w:rsidRPr="00CE2474">
        <w:rPr>
          <w:rFonts w:ascii="Times New Roman" w:hAnsi="Times New Roman" w:cs="Times New Roman"/>
          <w:sz w:val="23"/>
          <w:szCs w:val="23"/>
        </w:rPr>
        <w:t>epreço na execução do contrato.</w:t>
      </w:r>
    </w:p>
    <w:p w14:paraId="03258BA4" w14:textId="77777777" w:rsidR="00D81286" w:rsidRPr="00CE2474" w:rsidRDefault="00D81286" w:rsidP="00875DBA">
      <w:pPr>
        <w:pStyle w:val="Nivel2"/>
        <w:numPr>
          <w:ilvl w:val="1"/>
          <w:numId w:val="2"/>
        </w:numPr>
        <w:tabs>
          <w:tab w:val="left" w:pos="0"/>
        </w:tabs>
        <w:spacing w:before="240"/>
        <w:ind w:left="0" w:firstLine="0"/>
        <w:rPr>
          <w:rFonts w:ascii="Times New Roman" w:hAnsi="Times New Roman" w:cs="Times New Roman"/>
          <w:b/>
          <w:bCs/>
          <w:color w:val="auto"/>
          <w:sz w:val="23"/>
          <w:szCs w:val="23"/>
        </w:rPr>
      </w:pPr>
      <w:r w:rsidRPr="00CE2474">
        <w:rPr>
          <w:rFonts w:ascii="Times New Roman" w:hAnsi="Times New Roman" w:cs="Times New Roman"/>
          <w:b/>
          <w:bCs/>
          <w:color w:val="auto"/>
          <w:sz w:val="23"/>
          <w:szCs w:val="23"/>
        </w:rPr>
        <w:t>Do reajuste dos preços</w:t>
      </w:r>
    </w:p>
    <w:p w14:paraId="526AC9CD"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Os preços contratados serão reajustados após o interregno de 1 (um) ano, mediante solicitação do contratado.</w:t>
      </w:r>
    </w:p>
    <w:p w14:paraId="65CC924B"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 interregno mínimo de 1 (um) ano para o primeiro reajuste será contado da data do orçamento estimado.</w:t>
      </w:r>
    </w:p>
    <w:p w14:paraId="74152966"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Nos reajustes subsequentes ao primeiro, o interregno mínimo de um ano será contado a partir do fato gerador que deu ensejo ao último reajuste.</w:t>
      </w:r>
    </w:p>
    <w:p w14:paraId="6AE22C4E"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15.4 Os preços iniciais serão reajustados, mediante a aplicação, pelo contratante, do índice IPCA (Índice Nacional de Preços ao Consumidor Amplo, calculado e divulgado pelo IBGE), exclusivamente para as obrigações que se iniciem após a anualidade.</w:t>
      </w:r>
    </w:p>
    <w:p w14:paraId="01CAAF17"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Deverá ser adotado o índice setorial, refletindo a variação dos custos daquele segmento específico, sendo autorizado o índice geral quando inexistir o setorial. Caso o contrato preveja itens de natureza distintas, com índices setoriais específicos, deverão ser previstos índices distintos para cada família de itens.</w:t>
      </w:r>
    </w:p>
    <w:p w14:paraId="57ABB77B" w14:textId="538E27EA"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No caso de atraso ou não divulgação do(s) índice(s) de reajustamento, o contratante pagará ao contratado a importância calculada pela última variação conhecida, liquidando a diferença correspondente tão</w:t>
      </w:r>
      <w:r w:rsidR="00F91F45" w:rsidRPr="00CE2474">
        <w:rPr>
          <w:rFonts w:ascii="Times New Roman" w:hAnsi="Times New Roman" w:cs="Times New Roman"/>
          <w:color w:val="auto"/>
          <w:sz w:val="23"/>
          <w:szCs w:val="23"/>
        </w:rPr>
        <w:t xml:space="preserve"> </w:t>
      </w:r>
      <w:r w:rsidRPr="00CE2474">
        <w:rPr>
          <w:rFonts w:ascii="Times New Roman" w:hAnsi="Times New Roman" w:cs="Times New Roman"/>
          <w:color w:val="auto"/>
          <w:sz w:val="23"/>
          <w:szCs w:val="23"/>
        </w:rPr>
        <w:t xml:space="preserve">logo seja(m) divulgado(s) o(s) índice(s) definitivo(s). </w:t>
      </w:r>
    </w:p>
    <w:p w14:paraId="71AAD761"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Fica o contratado obrigado a apresentar memória de cálculo referente ao reajustamento de preços do valor remanescente, sempre que este ocorrer, sendo adotado na aferição final o índice definitivo.</w:t>
      </w:r>
    </w:p>
    <w:p w14:paraId="42159215"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Caso o(s) índice(s) estabelecido(s) para reajustamento venha(m) a ser extinto(s) ou de qualquer forma não possa(m) mais ser utilizado(s), será(</w:t>
      </w:r>
      <w:proofErr w:type="spellStart"/>
      <w:r w:rsidRPr="00CE2474">
        <w:rPr>
          <w:rFonts w:ascii="Times New Roman" w:hAnsi="Times New Roman" w:cs="Times New Roman"/>
          <w:color w:val="auto"/>
          <w:sz w:val="23"/>
          <w:szCs w:val="23"/>
        </w:rPr>
        <w:t>ão</w:t>
      </w:r>
      <w:proofErr w:type="spellEnd"/>
      <w:r w:rsidRPr="00CE2474">
        <w:rPr>
          <w:rFonts w:ascii="Times New Roman" w:hAnsi="Times New Roman" w:cs="Times New Roman"/>
          <w:color w:val="auto"/>
          <w:sz w:val="23"/>
          <w:szCs w:val="23"/>
        </w:rPr>
        <w:t>) adotado(s), em substituição, o(s) que vier(em) a ser determinado(s) pela legislação então em vigor.</w:t>
      </w:r>
    </w:p>
    <w:p w14:paraId="5092148E"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 xml:space="preserve">Na ausência de previsão legal quanto ao índice substituto, as partes elegerão novo índice oficial, para reajustamento do preço do valor remanescente, por meio de termo aditivo. </w:t>
      </w:r>
    </w:p>
    <w:p w14:paraId="0F2B7F21"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 pedido de reajuste deverá ser formulado durante a vigência do Contrato e antes de eventual prorrogação contratual, sob pena de preclusão.</w:t>
      </w:r>
    </w:p>
    <w:p w14:paraId="12B8CBEA"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Os efeitos financeiros do pedido de reajuste serão contados:</w:t>
      </w:r>
    </w:p>
    <w:p w14:paraId="567388F4"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lastRenderedPageBreak/>
        <w:t>a) da data-base prevista no contrato, desde que requerido o reajuste no prazo de 60 (sessenta) dias da data de publicação do índice ajustado contratualmente;</w:t>
      </w:r>
    </w:p>
    <w:p w14:paraId="2959D448"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 xml:space="preserve">b) a partir da data do requerimento do contratado, caso o pedido seja formulado após o prazo fixado na alínea a, acima, o que não acarretará a alteração do marco para cômputo da anualidade do reajustamento, já adotado no Edital e no Contrato. </w:t>
      </w:r>
    </w:p>
    <w:p w14:paraId="76318740"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651E8BD2"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A extinção do Contrato não configurará óbice para o deferimento do reajuste solicitado tempestivamente, hipótese em que será concedido por meio de termo indenizatório.</w:t>
      </w:r>
    </w:p>
    <w:p w14:paraId="5FE6F4F1"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 reajuste será realizado por apostilamento, se esta for a única alteração contratual a ser realizada.</w:t>
      </w:r>
    </w:p>
    <w:p w14:paraId="3A4FB2D8"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 reajuste de preços não interfere no direito das partes de solicitar, a qualquer momento, a manutenção do equilíbrio econômico dos contratos com base no disposto no art. 124, inciso II, alínea d, da Lei nº 14.133/2021.</w:t>
      </w:r>
    </w:p>
    <w:p w14:paraId="1E8CD486" w14:textId="77777777" w:rsidR="00D81286" w:rsidRPr="00CE2474" w:rsidRDefault="00D81286" w:rsidP="00D81286">
      <w:pPr>
        <w:pStyle w:val="Nivel2"/>
        <w:numPr>
          <w:ilvl w:val="2"/>
          <w:numId w:val="2"/>
        </w:numPr>
        <w:tabs>
          <w:tab w:val="left" w:pos="0"/>
        </w:tabs>
        <w:spacing w:before="24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Os pagamentos eventualmente realizados com atraso, desde que não decorram de ato ou fato atribuível ao contratado, sofrerão a incidência de atualização monetária e juros de mora pelo IPCA, calculado pro rata die, e aqueles pagos em prazo inferior ao estabelecido no instrumento convocatório serão feitos mediante desconto de 0,5% (um meio por cento) ao mês, calculado pro rata die.</w:t>
      </w:r>
    </w:p>
    <w:p w14:paraId="1BC1DA2B" w14:textId="77777777" w:rsidR="00D81286" w:rsidRPr="00CE2474" w:rsidRDefault="00D81286" w:rsidP="00D81286">
      <w:pPr>
        <w:pStyle w:val="Nivel01"/>
        <w:rPr>
          <w:sz w:val="23"/>
          <w:szCs w:val="23"/>
        </w:rPr>
      </w:pPr>
      <w:bookmarkStart w:id="30" w:name="_Toc135469254"/>
      <w:bookmarkStart w:id="31" w:name="_Toc179572866"/>
      <w:bookmarkStart w:id="32" w:name="_Hlk114646655"/>
      <w:r w:rsidRPr="00CE2474">
        <w:rPr>
          <w:sz w:val="23"/>
          <w:szCs w:val="23"/>
        </w:rPr>
        <w:t>DA ABERTURA DA SESSÃO, CLASSIFICAÇÃO DAS PROPOSTAS E FORMULAÇÃO DE LANCES</w:t>
      </w:r>
      <w:bookmarkEnd w:id="30"/>
      <w:bookmarkEnd w:id="31"/>
    </w:p>
    <w:p w14:paraId="76DB7404"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 abertura da presente licitação dar-se-á automaticamente em sessão pública, por meio de sistema eletrônico, na data, horário e local indicados neste Edital.</w:t>
      </w:r>
    </w:p>
    <w:p w14:paraId="5BFEB9D5"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Os licitantes poderão retirar ou substituir a proposta ou os documentos de habilitação, quando for o caso, anteriormente inseridos no sistema, até a abertura da sessão pública.</w:t>
      </w:r>
    </w:p>
    <w:p w14:paraId="562C0E4C"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sistema disponibilizará campo próprio para troca de mensagens entre o Pregoeiro/Agente de Contratação/Comissão e os licitantes.</w:t>
      </w:r>
    </w:p>
    <w:p w14:paraId="732D655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Iniciada a etapa competitiva, os licitantes deverão encaminhar lances exclusivamente por meio de sistema eletrônico, sendo imediatamente informados do seu recebimento e do valor consignado no registro. </w:t>
      </w:r>
    </w:p>
    <w:p w14:paraId="2F96358B" w14:textId="19B945EB"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 lance deverá ser ofertado pelo valor </w:t>
      </w:r>
      <w:r w:rsidR="002D22CB" w:rsidRPr="00CE2474">
        <w:rPr>
          <w:rFonts w:ascii="Times New Roman" w:hAnsi="Times New Roman" w:cs="Times New Roman"/>
          <w:sz w:val="23"/>
          <w:szCs w:val="23"/>
        </w:rPr>
        <w:t>unitário</w:t>
      </w:r>
      <w:r w:rsidRPr="00CE2474">
        <w:rPr>
          <w:rFonts w:ascii="Times New Roman" w:hAnsi="Times New Roman" w:cs="Times New Roman"/>
          <w:sz w:val="23"/>
          <w:szCs w:val="23"/>
        </w:rPr>
        <w:t xml:space="preserve"> do </w:t>
      </w:r>
      <w:r w:rsidR="000D3728" w:rsidRPr="00CE2474">
        <w:rPr>
          <w:rFonts w:ascii="Times New Roman" w:hAnsi="Times New Roman" w:cs="Times New Roman"/>
          <w:sz w:val="23"/>
          <w:szCs w:val="23"/>
        </w:rPr>
        <w:t>item</w:t>
      </w:r>
      <w:r w:rsidR="0043243A" w:rsidRPr="00CE2474">
        <w:rPr>
          <w:rFonts w:ascii="Times New Roman" w:hAnsi="Times New Roman" w:cs="Times New Roman"/>
          <w:sz w:val="23"/>
          <w:szCs w:val="23"/>
        </w:rPr>
        <w:t>.</w:t>
      </w:r>
    </w:p>
    <w:p w14:paraId="3090D51D"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Os licitantes poderão oferecer lances sucessivos, observando o horário fixado para abertura da sessão e as regras estabelecidas no Edital.</w:t>
      </w:r>
    </w:p>
    <w:p w14:paraId="3F4C752E"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 licitante somente poderá oferecer lance de valor inferior ao último por ele ofertado e registrado pelo sistema. </w:t>
      </w:r>
    </w:p>
    <w:p w14:paraId="73382FA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 intervalo mínimo de diferença de valores entre os lances, que incidirá tanto em relação aos lances intermediários quanto em relação à proposta que cobrir a melhor oferta deverá ser </w:t>
      </w:r>
      <w:r w:rsidRPr="00CE2474">
        <w:rPr>
          <w:rFonts w:ascii="Times New Roman" w:hAnsi="Times New Roman" w:cs="Times New Roman"/>
          <w:b/>
          <w:bCs/>
          <w:sz w:val="23"/>
          <w:szCs w:val="23"/>
        </w:rPr>
        <w:t>R$ 00,01 (um centavo)</w:t>
      </w:r>
      <w:r w:rsidRPr="00CE2474">
        <w:rPr>
          <w:rFonts w:ascii="Times New Roman" w:hAnsi="Times New Roman" w:cs="Times New Roman"/>
          <w:sz w:val="23"/>
          <w:szCs w:val="23"/>
        </w:rPr>
        <w:t>.</w:t>
      </w:r>
    </w:p>
    <w:p w14:paraId="4D897150"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Em caso de erro material, ao licitante será concedida a possibilidade de enviar solicitação de cancelamento do seu lance durante a realização da etapa de lances da sessão pública, que poderá ser aceita ou não pelo Pregoeiro/Agente de Contratação/Comissão. Todavia, durante o transcurso do período randômico de disputa não será possível o encaminhamento de solicitação de cancelamento de lances.</w:t>
      </w:r>
    </w:p>
    <w:p w14:paraId="2CCCDAE9"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procedimento seguirá de acordo com o modo de disputa adotado</w:t>
      </w:r>
      <w:bookmarkStart w:id="33" w:name="_Hlk113697759"/>
      <w:r w:rsidRPr="00CE2474">
        <w:rPr>
          <w:rFonts w:ascii="Times New Roman" w:hAnsi="Times New Roman" w:cs="Times New Roman"/>
          <w:sz w:val="23"/>
          <w:szCs w:val="23"/>
        </w:rPr>
        <w:t xml:space="preserve"> é o </w:t>
      </w:r>
      <w:r w:rsidRPr="00CE2474">
        <w:rPr>
          <w:rFonts w:ascii="Times New Roman" w:hAnsi="Times New Roman" w:cs="Times New Roman"/>
          <w:b/>
          <w:bCs/>
          <w:sz w:val="23"/>
          <w:szCs w:val="23"/>
        </w:rPr>
        <w:t>ABERTO</w:t>
      </w:r>
      <w:r w:rsidRPr="00CE2474">
        <w:rPr>
          <w:rFonts w:ascii="Times New Roman" w:hAnsi="Times New Roman" w:cs="Times New Roman"/>
          <w:sz w:val="23"/>
          <w:szCs w:val="23"/>
        </w:rPr>
        <w:t>.</w:t>
      </w:r>
    </w:p>
    <w:p w14:paraId="49F6F61C"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 De acordo com o modo de disputa adotado para o envio de lances na presente licitação, os licitantes apresentarão lances públicos e sucessivos, com prorrogações.</w:t>
      </w:r>
      <w:bookmarkStart w:id="34" w:name="_Hlk113697816"/>
      <w:bookmarkEnd w:id="33"/>
    </w:p>
    <w:p w14:paraId="224C655E"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color w:val="auto"/>
          <w:sz w:val="23"/>
          <w:szCs w:val="23"/>
        </w:rPr>
        <w:t>A etapa de lances da sessão pública terá duração de dez minutos e, após isso, será prorrogada automaticamente pelo sistema quando houver lance ofertado nos últimos dois minutos do período de duração da sessão pública.</w:t>
      </w:r>
    </w:p>
    <w:p w14:paraId="67D98EC7"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color w:val="auto"/>
          <w:sz w:val="23"/>
          <w:szCs w:val="23"/>
        </w:rPr>
        <w:t>A prorrogação automática da etapa de lances, de que trata o subitem anterior, será de dois minutos e ocorrerá sucessivamente sempre que houver lances enviados nesse período de prorrogação, inclusive no caso de lances intermediários.</w:t>
      </w:r>
    </w:p>
    <w:p w14:paraId="20475B03"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color w:val="auto"/>
          <w:sz w:val="23"/>
          <w:szCs w:val="23"/>
        </w:rPr>
        <w:t>Não havendo novos lances na forma estabelecida nos itens anteriores, a sessão pública encerrar-se-á automaticamente, e o sistema ordenará e divulgará os lances conforme a ordem final de classificação.</w:t>
      </w:r>
    </w:p>
    <w:p w14:paraId="6C7B3916"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color w:val="auto"/>
          <w:sz w:val="23"/>
          <w:szCs w:val="23"/>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4E49E745"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color w:val="auto"/>
          <w:sz w:val="23"/>
          <w:szCs w:val="23"/>
        </w:rPr>
        <w:t>Após o reinício previsto no item supra os licitantes serão convocados para apresentar lances intermediários</w:t>
      </w:r>
      <w:bookmarkEnd w:id="34"/>
      <w:r w:rsidRPr="00CE2474">
        <w:rPr>
          <w:rFonts w:ascii="Times New Roman" w:hAnsi="Times New Roman" w:cs="Times New Roman"/>
          <w:color w:val="auto"/>
          <w:sz w:val="23"/>
          <w:szCs w:val="23"/>
        </w:rPr>
        <w:t>.</w:t>
      </w:r>
    </w:p>
    <w:p w14:paraId="043A19A9"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Após o término dos prazos estabelecidos nos subitens anteriores, o sistema ordenará e divulgará os lances segundo a ordem crescente de valores</w:t>
      </w:r>
    </w:p>
    <w:p w14:paraId="43F728D5"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 xml:space="preserve">Não serão aceitos dois ou mais lances de mesmo valor, prevalecendo aquele que for recebido e registrado em primeiro lugar. </w:t>
      </w:r>
    </w:p>
    <w:p w14:paraId="7BE6554F"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Durante o transcurso da sessão pública, os licitantes serão informados, em tempo real, do valor do menor lance registrado, vedada a identificação do licitante. </w:t>
      </w:r>
    </w:p>
    <w:p w14:paraId="4E63A10C"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No caso de desconexão com o Pregoeiro/Agente de Contratação/Comissão, no decorrer da etapa competitiva da licitação, o sistema eletrônico poderá permanecer acessível aos licitantes para a recepção dos lances. </w:t>
      </w:r>
    </w:p>
    <w:p w14:paraId="5F26322F"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Quando a desconexão do sistema eletrônico para o Pregoeiro/Agente de Contratação/Comissão persistir por tempo superior a dez minutos, a sessão pública será suspensa e reiniciada somente depois de decorridas vinte e quatro horas da comunicação do fato pelo Pregoeiro/Agente de Contratação/Comissão aos participantes, no sítio eletrônico utilizado para divulgação.</w:t>
      </w:r>
    </w:p>
    <w:p w14:paraId="57601355"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Caso o licitante não apresente lances, concorrerá com o valor de sua proposta.</w:t>
      </w:r>
    </w:p>
    <w:p w14:paraId="1BD2910D"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Havendo eventual empate entre propostas ou lances, o critério de desempate será aquele previsto no </w:t>
      </w:r>
      <w:hyperlink r:id="rId20" w:anchor="art60" w:history="1">
        <w:r w:rsidRPr="00CE2474">
          <w:rPr>
            <w:rFonts w:ascii="Times New Roman" w:hAnsi="Times New Roman" w:cs="Times New Roman"/>
            <w:sz w:val="23"/>
            <w:szCs w:val="23"/>
            <w:u w:val="single"/>
          </w:rPr>
          <w:t>art. 60 da Lei nº 14.133, de 2021</w:t>
        </w:r>
      </w:hyperlink>
      <w:r w:rsidRPr="00CE2474">
        <w:rPr>
          <w:rFonts w:ascii="Times New Roman" w:hAnsi="Times New Roman" w:cs="Times New Roman"/>
          <w:sz w:val="23"/>
          <w:szCs w:val="23"/>
        </w:rPr>
        <w:t>, nesta ordem:</w:t>
      </w:r>
    </w:p>
    <w:p w14:paraId="78136C25"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Disputa final, hipótese em que os licitantes empatados poderão apresentar nova proposta em ato contínuo à classificação;</w:t>
      </w:r>
    </w:p>
    <w:p w14:paraId="1C28D223"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Avaliação do desempenho contratual prévio dos licitantes, para a qual deverão preferencialmente ser utilizados registros cadastrais para efeito de atesto de cumprimento de obrigações previstos nesta Lei;</w:t>
      </w:r>
    </w:p>
    <w:p w14:paraId="65124495"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Desenvolvimento pelo licitante de ações de equidade entre homens e mulheres no ambiente de trabalho, conforme regulamento;</w:t>
      </w:r>
    </w:p>
    <w:p w14:paraId="08DDE6FE"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Desenvolvimento pelo licitante de programa de integridade, conforme orientações dos órgãos de controle.</w:t>
      </w:r>
    </w:p>
    <w:p w14:paraId="43F3501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Persistindo o empate, será assegurada preferência, sucessivamente, aos bens e serviços produzidos ou prestados por:</w:t>
      </w:r>
      <w:bookmarkStart w:id="35" w:name="art60§1i"/>
      <w:bookmarkEnd w:id="35"/>
    </w:p>
    <w:p w14:paraId="6854C744"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36" w:name="art60§1ii"/>
      <w:bookmarkEnd w:id="36"/>
    </w:p>
    <w:p w14:paraId="176D6308"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Empresas brasileiras;</w:t>
      </w:r>
      <w:bookmarkStart w:id="37" w:name="art60§1iii"/>
      <w:bookmarkEnd w:id="37"/>
    </w:p>
    <w:p w14:paraId="5A7CEFE3"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Empresas que invistam em pesquisa e no desenvolvimento de tecnologia no País;</w:t>
      </w:r>
      <w:bookmarkStart w:id="38" w:name="art60§1iv"/>
      <w:bookmarkEnd w:id="38"/>
    </w:p>
    <w:p w14:paraId="060BCA55"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lastRenderedPageBreak/>
        <w:t xml:space="preserve">Empresas que comprovem a prática de mitigação, nos termos da </w:t>
      </w:r>
      <w:hyperlink r:id="rId21" w:anchor=":~:text=LEI%20N%C2%BA%2012.187%2C%20DE%2029%20DE%20DEZEMBRO%20DE%202009.&amp;text=Institui%20a%20Pol%C3%ADtica%20Nacional%20sobre,PNMC%20e%20d%C3%A1%20outras%20provid%C3%AAncias." w:history="1">
        <w:r w:rsidRPr="00CE2474">
          <w:rPr>
            <w:rFonts w:ascii="Times New Roman" w:hAnsi="Times New Roman" w:cs="Times New Roman"/>
            <w:color w:val="auto"/>
            <w:sz w:val="23"/>
            <w:szCs w:val="23"/>
            <w:u w:val="single"/>
          </w:rPr>
          <w:t>Lei nº 12.187, de 29 de dezembro de 2009</w:t>
        </w:r>
      </w:hyperlink>
      <w:r w:rsidRPr="00CE2474">
        <w:rPr>
          <w:rFonts w:ascii="Times New Roman" w:hAnsi="Times New Roman" w:cs="Times New Roman"/>
          <w:color w:val="auto"/>
          <w:sz w:val="23"/>
          <w:szCs w:val="23"/>
        </w:rPr>
        <w:t>.</w:t>
      </w:r>
    </w:p>
    <w:p w14:paraId="0D5DE3D1"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sz w:val="23"/>
          <w:szCs w:val="23"/>
        </w:rPr>
        <w:t>Permanecendo o empate após a aplicação de todos os critérios previstos no caput e no § 1º do art. 60 da Lei 14.133, de 2021, realizar-se-á o sorteio entre as propostas empatadas, de acordo com a disponibilidade da funcionalidade pelo sistema adotado pelo Município.</w:t>
      </w:r>
    </w:p>
    <w:p w14:paraId="65F98098"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Encerrada a etapa de envio de lances da sessão pública, na hipótese da proposta do primeiro colocado permanecer acima do preço máximo ou inferior ao desconto definido para a contratação, o Pregoeiro/Agente de Contratação poderá negociar condições mais vantajosas, após definido o resultado do julgamento.</w:t>
      </w:r>
    </w:p>
    <w:p w14:paraId="2FC745D9"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Não será admitida a previsão de preços diferentes em razão de local de entrega ou de acondicionamento, tamanho de lote ou qualquer outro motivo.</w:t>
      </w:r>
    </w:p>
    <w:p w14:paraId="0ACF6EA0"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2D3ACF7"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A negociação será realizada por meio do sistema, podendo ser acompanhada pelos demais licitantes.</w:t>
      </w:r>
    </w:p>
    <w:p w14:paraId="1D9F6C74"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 resultado da negociação será divulgado a todos os licitantes e anexado aos autos do processo licitatório.</w:t>
      </w:r>
    </w:p>
    <w:p w14:paraId="08106720"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 xml:space="preserve">O Pregoeiro/Agente de Contratação solicitará ao licitante mais bem classificado que, no prazo de </w:t>
      </w:r>
      <w:r w:rsidRPr="00CE2474">
        <w:rPr>
          <w:rFonts w:ascii="Times New Roman" w:hAnsi="Times New Roman" w:cs="Times New Roman"/>
          <w:b/>
          <w:bCs/>
          <w:color w:val="auto"/>
          <w:sz w:val="23"/>
          <w:szCs w:val="23"/>
        </w:rPr>
        <w:t>2 (duas) horas</w:t>
      </w:r>
      <w:r w:rsidRPr="00CE2474">
        <w:rPr>
          <w:rFonts w:ascii="Times New Roman" w:hAnsi="Times New Roman" w:cs="Times New Roman"/>
          <w:color w:val="auto"/>
          <w:sz w:val="23"/>
          <w:szCs w:val="23"/>
        </w:rPr>
        <w:t>, envie a proposta adequada ao último lance ofertado após a negociação realizada, acompanhada, se for o caso, dos documentos complementares, quando necessários à confirmação daqueles exigidos neste Edital e já apresentados.</w:t>
      </w:r>
    </w:p>
    <w:p w14:paraId="7850E6F3"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É facultado ao Pregoeiro/Agente de Contratação prorrogar o prazo estabelecido, a partir de solicitação fundamentada feita no chat pelo licitante, antes de findo o prazo.</w:t>
      </w:r>
    </w:p>
    <w:p w14:paraId="52B8FE8C"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Após a negociação do preço, o Pregoeiro/Agente de Contratação/Comissão iniciará a fase de aceitação e julgamento da proposta.</w:t>
      </w:r>
      <w:bookmarkEnd w:id="32"/>
    </w:p>
    <w:p w14:paraId="1E0A2DE2" w14:textId="77777777" w:rsidR="00D81286" w:rsidRPr="00CE2474" w:rsidRDefault="00D81286" w:rsidP="00D81286">
      <w:pPr>
        <w:pStyle w:val="Nivel01"/>
        <w:rPr>
          <w:sz w:val="23"/>
          <w:szCs w:val="23"/>
        </w:rPr>
      </w:pPr>
      <w:bookmarkStart w:id="39" w:name="_Toc135469255"/>
      <w:bookmarkStart w:id="40" w:name="_Toc179572867"/>
      <w:bookmarkStart w:id="41" w:name="_Hlk82473550"/>
      <w:r w:rsidRPr="00CE2474">
        <w:rPr>
          <w:sz w:val="23"/>
          <w:szCs w:val="23"/>
        </w:rPr>
        <w:t>DA FASE DE JULGAMENTO</w:t>
      </w:r>
      <w:bookmarkEnd w:id="39"/>
      <w:bookmarkEnd w:id="40"/>
    </w:p>
    <w:p w14:paraId="078EF598" w14:textId="61A26D00"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bookmarkStart w:id="42" w:name="_Ref117019424"/>
      <w:r w:rsidRPr="00CE2474">
        <w:rPr>
          <w:rFonts w:ascii="Times New Roman" w:hAnsi="Times New Roman" w:cs="Times New Roman"/>
          <w:sz w:val="23"/>
          <w:szCs w:val="23"/>
        </w:rPr>
        <w:t xml:space="preserve">Encerrada a etapa de negociação, o Pregoeiro/Agente de Contratação/Comissão verificará se o licitante provisoriamente classificado em primeiro lugar atende às condições de participação no certame, conforme previsto no </w:t>
      </w:r>
      <w:hyperlink r:id="rId22" w:anchor="art14" w:history="1">
        <w:r w:rsidRPr="00CE2474">
          <w:rPr>
            <w:rFonts w:ascii="Times New Roman" w:hAnsi="Times New Roman" w:cs="Times New Roman"/>
            <w:sz w:val="23"/>
            <w:szCs w:val="23"/>
            <w:u w:val="single"/>
          </w:rPr>
          <w:t>art. 14 da Lei nº 14.133/2021</w:t>
        </w:r>
      </w:hyperlink>
      <w:r w:rsidRPr="00CE2474">
        <w:rPr>
          <w:rFonts w:ascii="Times New Roman" w:hAnsi="Times New Roman" w:cs="Times New Roman"/>
          <w:sz w:val="23"/>
          <w:szCs w:val="23"/>
        </w:rPr>
        <w:t xml:space="preserve">, legislação correlata e no item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_Ref117000692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3.1</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do edital, </w:t>
      </w:r>
      <w:bookmarkEnd w:id="42"/>
      <w:r w:rsidRPr="00CE2474">
        <w:rPr>
          <w:rFonts w:ascii="Times New Roman" w:hAnsi="Times New Roman" w:cs="Times New Roman"/>
          <w:sz w:val="23"/>
          <w:szCs w:val="23"/>
        </w:rPr>
        <w:t>especialmente quanto à existência de sanção que impeça a participação no certame ou a futura contratação, mediante a consulta aos seguintes cadastros:</w:t>
      </w:r>
    </w:p>
    <w:p w14:paraId="12708E6E"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lastRenderedPageBreak/>
        <w:t>SICAF;</w:t>
      </w:r>
    </w:p>
    <w:p w14:paraId="0314CD02"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Cadastro Nacional de Empresas Inidôneas e Suspensas - CEIS, mantido pela Controladoria-Geral da União (</w:t>
      </w:r>
      <w:hyperlink r:id="rId23" w:history="1">
        <w:r w:rsidRPr="00CE2474">
          <w:rPr>
            <w:rFonts w:ascii="Times New Roman" w:hAnsi="Times New Roman" w:cs="Times New Roman"/>
            <w:color w:val="auto"/>
            <w:sz w:val="23"/>
            <w:szCs w:val="23"/>
          </w:rPr>
          <w:t>https://www.portaltransparencia.gov.br/sancoes/ceis</w:t>
        </w:r>
      </w:hyperlink>
      <w:r w:rsidRPr="00CE2474">
        <w:rPr>
          <w:rFonts w:ascii="Times New Roman" w:hAnsi="Times New Roman" w:cs="Times New Roman"/>
          <w:color w:val="auto"/>
          <w:sz w:val="23"/>
          <w:szCs w:val="23"/>
        </w:rPr>
        <w:t>);</w:t>
      </w:r>
    </w:p>
    <w:p w14:paraId="50097E4C"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Cadastro Nacional de Empresas Punidas – CNEP, mantido pela Controladoria-Geral da União (</w:t>
      </w:r>
      <w:hyperlink r:id="rId24" w:history="1">
        <w:r w:rsidRPr="00CE2474">
          <w:rPr>
            <w:rFonts w:ascii="Times New Roman" w:hAnsi="Times New Roman" w:cs="Times New Roman"/>
            <w:color w:val="auto"/>
            <w:sz w:val="23"/>
            <w:szCs w:val="23"/>
          </w:rPr>
          <w:t>https://www.portaltransparencia.gov.br/sancoes/cnep</w:t>
        </w:r>
      </w:hyperlink>
      <w:r w:rsidRPr="00CE2474">
        <w:rPr>
          <w:rFonts w:ascii="Times New Roman" w:hAnsi="Times New Roman" w:cs="Times New Roman"/>
          <w:color w:val="auto"/>
          <w:sz w:val="23"/>
          <w:szCs w:val="23"/>
        </w:rPr>
        <w:t>);</w:t>
      </w:r>
    </w:p>
    <w:p w14:paraId="173F08C6"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Cadastro Nacional de Condenações Cíveis por Atos de Improbidade Administrativa, mantido pelo Conselho Nacional de Justiça; (</w:t>
      </w:r>
      <w:hyperlink r:id="rId25" w:history="1">
        <w:r w:rsidRPr="00CE2474">
          <w:rPr>
            <w:rFonts w:ascii="Times New Roman" w:hAnsi="Times New Roman" w:cs="Times New Roman"/>
            <w:color w:val="auto"/>
            <w:sz w:val="23"/>
            <w:szCs w:val="23"/>
          </w:rPr>
          <w:t>www.cnj.jus.br/improbidade_adm/consultar_requerido.php</w:t>
        </w:r>
      </w:hyperlink>
      <w:r w:rsidRPr="00CE2474">
        <w:rPr>
          <w:rFonts w:ascii="Times New Roman" w:hAnsi="Times New Roman" w:cs="Times New Roman"/>
          <w:color w:val="auto"/>
          <w:sz w:val="23"/>
          <w:szCs w:val="23"/>
        </w:rPr>
        <w:t>).</w:t>
      </w:r>
    </w:p>
    <w:p w14:paraId="68405245"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Lista de inidôneos mantida pelo Tribunal de Contas da União</w:t>
      </w:r>
    </w:p>
    <w:p w14:paraId="06A0FFB4"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 consulta aos cadastros será realizada em nome da empresa licitante e também de seu sócio majoritário, por força da vedação de que trata o </w:t>
      </w:r>
      <w:hyperlink r:id="rId26" w:anchor=":~:text=%C3%A0s%20seguintes%20comina%C3%A7%C3%B5es%3A-,Art.,n%C2%BA%2012.120%2C%20de%202009)." w:history="1">
        <w:r w:rsidRPr="00CE2474">
          <w:rPr>
            <w:rFonts w:ascii="Times New Roman" w:hAnsi="Times New Roman" w:cs="Times New Roman"/>
            <w:sz w:val="23"/>
            <w:szCs w:val="23"/>
          </w:rPr>
          <w:t>artigo 12 da Lei n° 8.429, de 1992</w:t>
        </w:r>
      </w:hyperlink>
      <w:r w:rsidRPr="00CE2474">
        <w:rPr>
          <w:rFonts w:ascii="Times New Roman" w:hAnsi="Times New Roman" w:cs="Times New Roman"/>
          <w:sz w:val="23"/>
          <w:szCs w:val="23"/>
        </w:rPr>
        <w:t>.</w:t>
      </w:r>
    </w:p>
    <w:p w14:paraId="697E5FAD"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Caso conste na Consulta de Situação do licitante a existência de Ocorrências Impeditivas Indiretas, o Pregoeiro/Agente de Contratação/Comissão diligenciará para verificar se houve fraude por parte das empresas apontadas no Relatório de Ocorrências Impeditivas Indiretas (IN nº 3/2018, art. 29, caput).</w:t>
      </w:r>
    </w:p>
    <w:p w14:paraId="30294E09"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A tentativa de burla será verificada por meio dos vínculos societários, linhas de fornecimento similares, dentre outros.</w:t>
      </w:r>
    </w:p>
    <w:p w14:paraId="3BA36F1C"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 licitante será convocado para manifestação previamente a uma eventual desclassificação (IN nº 3/2018, art. 29, §2º).</w:t>
      </w:r>
    </w:p>
    <w:p w14:paraId="07EA55B9"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Constatada a existência de sanção, o licitante será reputado inabilitado, por falta de condição de participação.</w:t>
      </w:r>
    </w:p>
    <w:p w14:paraId="43E757CC"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Na hipótese de inversão das fases de habilitação e julgamento, caso atendidas as condições de participação, será iniciado o procedimento de habilitação.</w:t>
      </w:r>
    </w:p>
    <w:p w14:paraId="1D2012C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Será desclassificada a proposta vencedora que: </w:t>
      </w:r>
    </w:p>
    <w:p w14:paraId="727D9583"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Contiver vícios insanáveis;</w:t>
      </w:r>
    </w:p>
    <w:p w14:paraId="56DDC364"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Não obedecer às especificações técnicas contidas no Termo de Referência;</w:t>
      </w:r>
    </w:p>
    <w:p w14:paraId="149DB676"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Apresentar preços inexequíveis ou permanecerem acima do preço máximo definido para a contratação;</w:t>
      </w:r>
    </w:p>
    <w:p w14:paraId="016D8C43"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Não tiverem sua exequibilidade demonstrada, quando exigido pela Administração;</w:t>
      </w:r>
    </w:p>
    <w:p w14:paraId="62AA8D13"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lastRenderedPageBreak/>
        <w:t>Apresentar desconformidade com quaisquer outras exigências deste Edital ou seus anexos, desde que insanável.</w:t>
      </w:r>
    </w:p>
    <w:p w14:paraId="43F30E96"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No caso de bens e serviços em geral, é indício de inexequibilidade das propostas valores inferiores a </w:t>
      </w:r>
      <w:r w:rsidRPr="00CE2474">
        <w:rPr>
          <w:rFonts w:ascii="Times New Roman" w:hAnsi="Times New Roman" w:cs="Times New Roman"/>
          <w:b/>
          <w:bCs/>
          <w:sz w:val="23"/>
          <w:szCs w:val="23"/>
        </w:rPr>
        <w:t xml:space="preserve">50% (cinquenta por cento) </w:t>
      </w:r>
      <w:r w:rsidRPr="00CE2474">
        <w:rPr>
          <w:rFonts w:ascii="Times New Roman" w:hAnsi="Times New Roman" w:cs="Times New Roman"/>
          <w:sz w:val="23"/>
          <w:szCs w:val="23"/>
        </w:rPr>
        <w:t>do valor orçado pela Administração, na forma da alínea a) do §1º do art. 48 da Lei n.º 14.133/2021.</w:t>
      </w:r>
    </w:p>
    <w:p w14:paraId="5E835905"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A inexequibilidade, na hipótese de que trata o caput, só será considerada após diligência do Pregoeiro/Agente de Contratação/Comissão, que comprove:</w:t>
      </w:r>
    </w:p>
    <w:p w14:paraId="6FFB0E6C"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Que o custo do licitante ultrapassa o valor da proposta; e</w:t>
      </w:r>
    </w:p>
    <w:p w14:paraId="0D653DDF"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Inexistirem custos de oportunidade capazes de justificar o vulto da oferta.</w:t>
      </w:r>
    </w:p>
    <w:p w14:paraId="00035893"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Se houver indícios de inexequibilidade da proposta de preço, ou em caso da necessidade de esclarecimentos complementares, poderão ser efetuadas diligências, para que a empresa comprove a exequibilidade da proposta.</w:t>
      </w:r>
    </w:p>
    <w:p w14:paraId="1B69BA99"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2284617"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ajuste de que trata este dispositivo se limita a sanar erros ou falhas que não alterem a substância das propostas;</w:t>
      </w:r>
    </w:p>
    <w:p w14:paraId="1E15C519"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Considera-se erro no preenchimento da planilha passível de correção a indicação de recolhimento de impostos e contribuições na forma do Simples Nacional, quando não cabível esse regime.</w:t>
      </w:r>
    </w:p>
    <w:p w14:paraId="44371F0E"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Para fins de análise da proposta quanto ao cumprimento das especificações do objeto, poderá ser colhida a manifestação escrita do setor requisitante do serviço ou da área especializada no objeto.</w:t>
      </w:r>
    </w:p>
    <w:p w14:paraId="11AF4729"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Caso o Termo de Referência exija a apresentação de amostra, o licitante classificado em primeiro lugar deverá apresentá-la, conforme disciplinado no Termo de Referência, sob pena de não aceitação da proposta.</w:t>
      </w:r>
    </w:p>
    <w:p w14:paraId="0C49B907"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Por meio de mensagem no sistema, será divulgado o local e horário de realização do procedimento para a avaliação das amostras, cuja presença será facultada a todos os interessados, incluindo os demais licitantes.</w:t>
      </w:r>
    </w:p>
    <w:p w14:paraId="034BFFD0"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Os resultados das avaliações serão divulgados por meio de mensagem no sistema.</w:t>
      </w:r>
    </w:p>
    <w:p w14:paraId="15A17FDE"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No caso de não haver entrega da amostra ou ocorrer atraso na entrega, sem justificativa aceita pelo Pregoeiro/Agente de Contratação/Comissão, ou havendo entrega de amostra fora das especificações previstas neste Edital, a proposta do licitante será recusada.</w:t>
      </w:r>
    </w:p>
    <w:p w14:paraId="6FB32F0E"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Se a(s) amostra(s) apresentada(s) pelo primeiro classificado não for(em) aceita(s), o Pregoeiro/Agente de Contratação/Comissão analisará a aceitabilidade da proposta ou lance ofertado pelo segundo classificado. Seguir-se-á com a verificação da(s) amostra(s) e, assim, sucessivamente, até a verificação de uma que atenda às especificações constantes no Termo de Referência.</w:t>
      </w:r>
    </w:p>
    <w:p w14:paraId="482120E6" w14:textId="77777777" w:rsidR="00D81286" w:rsidRPr="00CE2474" w:rsidRDefault="00D81286" w:rsidP="00D81286">
      <w:pPr>
        <w:pStyle w:val="Nivel01"/>
        <w:rPr>
          <w:sz w:val="23"/>
          <w:szCs w:val="23"/>
        </w:rPr>
      </w:pPr>
      <w:bookmarkStart w:id="43" w:name="_Toc135469256"/>
      <w:bookmarkStart w:id="44" w:name="_Toc179572868"/>
      <w:r w:rsidRPr="00CE2474">
        <w:rPr>
          <w:sz w:val="23"/>
          <w:szCs w:val="23"/>
        </w:rPr>
        <w:t>DA FASE DE HABILITAÇÃO</w:t>
      </w:r>
      <w:bookmarkEnd w:id="43"/>
      <w:bookmarkEnd w:id="44"/>
    </w:p>
    <w:p w14:paraId="39F7F84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Os documentos previstos no Termo de Referência, necessários e suficientes para demonstrar a capacidade do licitante de realizar o objeto da licitação, serão exigidos para fins de habilitação, nos termos dos </w:t>
      </w:r>
      <w:hyperlink r:id="rId27" w:anchor="art62" w:history="1">
        <w:r w:rsidRPr="00CE2474">
          <w:rPr>
            <w:rFonts w:ascii="Times New Roman" w:hAnsi="Times New Roman" w:cs="Times New Roman"/>
            <w:sz w:val="23"/>
            <w:szCs w:val="23"/>
            <w:u w:val="single"/>
          </w:rPr>
          <w:t>arts. 62 a 70 da Lei nº 14.133, de 2021</w:t>
        </w:r>
      </w:hyperlink>
      <w:r w:rsidRPr="00CE2474">
        <w:rPr>
          <w:rFonts w:ascii="Times New Roman" w:hAnsi="Times New Roman" w:cs="Times New Roman"/>
          <w:sz w:val="23"/>
          <w:szCs w:val="23"/>
        </w:rPr>
        <w:t>.</w:t>
      </w:r>
    </w:p>
    <w:p w14:paraId="1B61B41E" w14:textId="3D1FA71F" w:rsidR="00710505" w:rsidRPr="00CE2474" w:rsidRDefault="00D81286" w:rsidP="00710505">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A documentação exigida para fins de habilitação jurídica, fiscal, social e trabalhista e econômico-ﬁnanceira, poderá ser substituída pelo registro cadastral no SICAF.</w:t>
      </w:r>
    </w:p>
    <w:p w14:paraId="0E47AD4E"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b/>
          <w:bCs/>
          <w:sz w:val="23"/>
          <w:szCs w:val="23"/>
        </w:rPr>
      </w:pPr>
      <w:r w:rsidRPr="00CE2474">
        <w:rPr>
          <w:rFonts w:ascii="Times New Roman" w:hAnsi="Times New Roman" w:cs="Times New Roman"/>
          <w:b/>
          <w:bCs/>
          <w:sz w:val="23"/>
          <w:szCs w:val="23"/>
        </w:rPr>
        <w:t>Habilitação fiscal, social e trabalhista:</w:t>
      </w:r>
    </w:p>
    <w:p w14:paraId="6ED04AF8"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 xml:space="preserve">Prova de inscrição no Cadastro Nacional de Pessoas Jurídicas ou no Cadastro de Pessoas Físicas, conforme o caso; </w:t>
      </w:r>
    </w:p>
    <w:p w14:paraId="47D910CB"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6D660998"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 xml:space="preserve">Prova de regularidade com o Fundo de Garantia do Tempo de Serviço (FGTS); </w:t>
      </w:r>
    </w:p>
    <w:p w14:paraId="7E8B01DA"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 xml:space="preserve">Declaração de que não emprega menor de 18 anos em trabalho noturno, perigoso ou insalubre e não emprega menor de 16 anos, salvo menor, a partir de 14 anos, na condição de aprendiz, nos termos do artigo 7°, XXXIII, da Constituição; </w:t>
      </w:r>
    </w:p>
    <w:p w14:paraId="35D30F4B"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CFE76E6"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 xml:space="preserve">Prova de inscrição no cadastro de contribuintes Estadual relativo ao domicílio ou sede do fornecedor, pertinente ao seu ramo de atividade e compatível com o objeto contratual; </w:t>
      </w:r>
    </w:p>
    <w:p w14:paraId="492460C5"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lastRenderedPageBreak/>
        <w:t>Prova de regularidade com a Fazenda Estadual do domicílio ou sede do fornecedor, relativa à atividade em cujo exercício contrata ou concorre;</w:t>
      </w:r>
    </w:p>
    <w:p w14:paraId="13A1524A"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Caso o fornecedor seja considerado isento dos tributos</w:t>
      </w:r>
      <w:r w:rsidR="00875DBA" w:rsidRPr="00CE2474">
        <w:rPr>
          <w:rFonts w:ascii="Times New Roman" w:hAnsi="Times New Roman" w:cs="Times New Roman"/>
          <w:color w:val="auto"/>
          <w:sz w:val="23"/>
          <w:szCs w:val="23"/>
        </w:rPr>
        <w:t>,</w:t>
      </w:r>
      <w:r w:rsidRPr="00CE2474">
        <w:rPr>
          <w:rFonts w:ascii="Times New Roman" w:hAnsi="Times New Roman" w:cs="Times New Roman"/>
          <w:color w:val="auto"/>
          <w:sz w:val="23"/>
          <w:szCs w:val="23"/>
        </w:rPr>
        <w:t xml:space="preserve"> Estadual ou Municipal relacionados ao objeto contratual</w:t>
      </w:r>
      <w:proofErr w:type="gramStart"/>
      <w:r w:rsidRPr="00CE2474">
        <w:rPr>
          <w:rFonts w:ascii="Times New Roman" w:hAnsi="Times New Roman" w:cs="Times New Roman"/>
          <w:color w:val="auto"/>
          <w:sz w:val="23"/>
          <w:szCs w:val="23"/>
        </w:rPr>
        <w:t>, deverá</w:t>
      </w:r>
      <w:proofErr w:type="gramEnd"/>
      <w:r w:rsidRPr="00CE2474">
        <w:rPr>
          <w:rFonts w:ascii="Times New Roman" w:hAnsi="Times New Roman" w:cs="Times New Roman"/>
          <w:color w:val="auto"/>
          <w:sz w:val="23"/>
          <w:szCs w:val="23"/>
        </w:rPr>
        <w:t xml:space="preserve"> comprovar tal condição mediante a apresentação de declaração da Fazenda respectiva do seu domicílio ou sede, ou outra equivalente, na forma da lei. </w:t>
      </w:r>
    </w:p>
    <w:p w14:paraId="2EDEA9DD"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O fornecedor enquadrado como microempreendedor individual que pretenda auferir os benefícios do tratamento diferenciado previstos na Lei Complementar n.º 123, de 2006, estará dispensado da prova de inscrição nos cadastros de contribuintes estadual e municipal.</w:t>
      </w:r>
    </w:p>
    <w:p w14:paraId="2F2759FB" w14:textId="77777777" w:rsidR="00D81286" w:rsidRPr="00CE2474" w:rsidRDefault="00D81286" w:rsidP="00B732F0">
      <w:pPr>
        <w:pStyle w:val="Nivel2"/>
        <w:rPr>
          <w:rFonts w:ascii="Times New Roman" w:hAnsi="Times New Roman" w:cs="Times New Roman"/>
          <w:sz w:val="23"/>
          <w:szCs w:val="23"/>
        </w:rPr>
      </w:pPr>
      <w:r w:rsidRPr="00CE2474">
        <w:rPr>
          <w:rFonts w:ascii="Times New Roman" w:hAnsi="Times New Roman" w:cs="Times New Roman"/>
          <w:b/>
          <w:bCs/>
          <w:sz w:val="23"/>
          <w:szCs w:val="23"/>
        </w:rPr>
        <w:t>Qualificação Econômico-Financeira:</w:t>
      </w:r>
    </w:p>
    <w:p w14:paraId="13B3ABBB"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Certidão negativa de insolvência civil expedida pelo distribuidor do domicílio ou sede do licitante, caso se trate de pessoa física, desde que admitida a sua participação na licitação, ou de sociedade simples.</w:t>
      </w:r>
    </w:p>
    <w:p w14:paraId="6ECFEB97"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 xml:space="preserve">Certidão negativa de falência expedida pelo distribuidor da sede do fornecedor - </w:t>
      </w:r>
      <w:hyperlink r:id="rId28" w:anchor="art69">
        <w:r w:rsidRPr="00CE2474">
          <w:rPr>
            <w:rFonts w:ascii="Times New Roman" w:hAnsi="Times New Roman" w:cs="Times New Roman"/>
            <w:color w:val="auto"/>
            <w:sz w:val="23"/>
            <w:szCs w:val="23"/>
          </w:rPr>
          <w:t>Lei nº 14.133, de 2021, art. 69, caput, inciso II</w:t>
        </w:r>
      </w:hyperlink>
      <w:r w:rsidRPr="00CE2474">
        <w:rPr>
          <w:rFonts w:ascii="Times New Roman" w:hAnsi="Times New Roman" w:cs="Times New Roman"/>
          <w:color w:val="auto"/>
          <w:sz w:val="23"/>
          <w:szCs w:val="23"/>
        </w:rPr>
        <w:t>).</w:t>
      </w:r>
    </w:p>
    <w:p w14:paraId="398DE4B6"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b/>
          <w:bCs/>
          <w:sz w:val="23"/>
          <w:szCs w:val="23"/>
        </w:rPr>
      </w:pPr>
      <w:r w:rsidRPr="00CE2474">
        <w:rPr>
          <w:rFonts w:ascii="Times New Roman" w:hAnsi="Times New Roman" w:cs="Times New Roman"/>
          <w:b/>
          <w:bCs/>
          <w:sz w:val="23"/>
          <w:szCs w:val="23"/>
        </w:rPr>
        <w:t>Qualificação Técnica</w:t>
      </w:r>
    </w:p>
    <w:p w14:paraId="138BE07A"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color w:val="auto"/>
          <w:sz w:val="23"/>
          <w:szCs w:val="23"/>
        </w:rPr>
      </w:pPr>
      <w:r w:rsidRPr="00CE2474">
        <w:rPr>
          <w:rFonts w:ascii="Times New Roman" w:hAnsi="Times New Roman" w:cs="Times New Roman"/>
          <w:color w:val="auto"/>
          <w:sz w:val="23"/>
          <w:szCs w:val="23"/>
        </w:rPr>
        <w:t>Declaração de que o interessado tomou conhecimento de todas as informações e das condições locais para o cumprimento das obrigações objeto da contratação, podendo ser penalizado em caso de descumprimento.</w:t>
      </w:r>
    </w:p>
    <w:p w14:paraId="782F714C" w14:textId="04B5B591" w:rsidR="00D81286" w:rsidRPr="00CE2474" w:rsidRDefault="00D81286" w:rsidP="00D81286">
      <w:pPr>
        <w:pStyle w:val="Nivel2"/>
        <w:numPr>
          <w:ilvl w:val="2"/>
          <w:numId w:val="2"/>
        </w:numPr>
        <w:spacing w:before="240" w:after="0"/>
        <w:ind w:left="0" w:firstLine="0"/>
        <w:rPr>
          <w:rFonts w:ascii="Times New Roman" w:hAnsi="Times New Roman" w:cs="Times New Roman"/>
          <w:b/>
          <w:bCs/>
          <w:color w:val="auto"/>
          <w:sz w:val="23"/>
          <w:szCs w:val="23"/>
        </w:rPr>
      </w:pPr>
      <w:r w:rsidRPr="00CE2474">
        <w:rPr>
          <w:rFonts w:ascii="Times New Roman" w:hAnsi="Times New Roman" w:cs="Times New Roman"/>
          <w:b/>
          <w:bCs/>
          <w:color w:val="auto"/>
          <w:sz w:val="23"/>
          <w:szCs w:val="23"/>
        </w:rPr>
        <w:t xml:space="preserve">Comprovação de aptidão para o fornecimento de bens similares de complexidade tecnológica e operacional equivalente ou superior com o objeto desta contratação, ou seja, </w:t>
      </w:r>
      <w:r w:rsidR="00C54DFD" w:rsidRPr="00CE2474">
        <w:rPr>
          <w:rFonts w:ascii="Times New Roman" w:hAnsi="Times New Roman" w:cs="Times New Roman"/>
          <w:b/>
          <w:bCs/>
          <w:color w:val="auto"/>
          <w:sz w:val="23"/>
          <w:szCs w:val="23"/>
        </w:rPr>
        <w:t>equipamentos odontológicos</w:t>
      </w:r>
      <w:r w:rsidRPr="00CE2474">
        <w:rPr>
          <w:rFonts w:ascii="Times New Roman" w:hAnsi="Times New Roman" w:cs="Times New Roman"/>
          <w:b/>
          <w:bCs/>
          <w:color w:val="auto"/>
          <w:sz w:val="23"/>
          <w:szCs w:val="23"/>
        </w:rPr>
        <w:t>, por meio da apresentação de certidões ou atestados, por pessoas jurídicas de direito público ou privado.</w:t>
      </w:r>
    </w:p>
    <w:p w14:paraId="4F1A6DAA" w14:textId="7870EE9C" w:rsidR="00D81286" w:rsidRPr="00CE2474" w:rsidRDefault="00D81286" w:rsidP="00D81286">
      <w:pPr>
        <w:pStyle w:val="PargrafodaLista"/>
        <w:numPr>
          <w:ilvl w:val="3"/>
          <w:numId w:val="2"/>
        </w:numPr>
        <w:spacing w:before="240" w:after="120" w:line="276" w:lineRule="auto"/>
        <w:ind w:left="0" w:firstLine="0"/>
        <w:jc w:val="both"/>
        <w:rPr>
          <w:rFonts w:ascii="Times New Roman" w:eastAsia="Arial" w:hAnsi="Times New Roman" w:cs="Times New Roman"/>
          <w:sz w:val="23"/>
          <w:szCs w:val="23"/>
        </w:rPr>
      </w:pPr>
      <w:r w:rsidRPr="00CE2474">
        <w:rPr>
          <w:rFonts w:ascii="Times New Roman" w:eastAsia="Arial" w:hAnsi="Times New Roman" w:cs="Times New Roman"/>
          <w:sz w:val="23"/>
          <w:szCs w:val="23"/>
        </w:rPr>
        <w:t xml:space="preserve">Para fins da comprovação de que trata este subitem, os atestados deverão testemunhar a respeito de que a proponente cumpriu, em outras experiências, pelo menos </w:t>
      </w:r>
      <w:r w:rsidRPr="00CE2474">
        <w:rPr>
          <w:rFonts w:ascii="Times New Roman" w:eastAsia="Arial" w:hAnsi="Times New Roman" w:cs="Times New Roman"/>
          <w:b/>
          <w:bCs/>
          <w:sz w:val="23"/>
          <w:szCs w:val="23"/>
        </w:rPr>
        <w:t xml:space="preserve">20% (vinte por cento) do valor total de cada </w:t>
      </w:r>
      <w:r w:rsidR="00C54DFD" w:rsidRPr="00CE2474">
        <w:rPr>
          <w:rFonts w:ascii="Times New Roman" w:eastAsia="Arial" w:hAnsi="Times New Roman" w:cs="Times New Roman"/>
          <w:b/>
          <w:bCs/>
          <w:sz w:val="23"/>
          <w:szCs w:val="23"/>
        </w:rPr>
        <w:t>item,</w:t>
      </w:r>
      <w:r w:rsidR="00EF5D41" w:rsidRPr="00CE2474">
        <w:rPr>
          <w:rFonts w:ascii="Times New Roman" w:eastAsia="Arial" w:hAnsi="Times New Roman" w:cs="Times New Roman"/>
          <w:b/>
          <w:bCs/>
          <w:sz w:val="23"/>
          <w:szCs w:val="23"/>
        </w:rPr>
        <w:t xml:space="preserve"> </w:t>
      </w:r>
      <w:r w:rsidRPr="00CE2474">
        <w:rPr>
          <w:rFonts w:ascii="Times New Roman" w:eastAsia="Arial" w:hAnsi="Times New Roman" w:cs="Times New Roman"/>
          <w:sz w:val="23"/>
          <w:szCs w:val="23"/>
        </w:rPr>
        <w:t>vencedor da presente contratação.</w:t>
      </w:r>
    </w:p>
    <w:p w14:paraId="52F3E3EA" w14:textId="77777777" w:rsidR="00E52901" w:rsidRPr="00CE2474" w:rsidRDefault="00E52901" w:rsidP="00E52901">
      <w:pPr>
        <w:pStyle w:val="PargrafodaLista"/>
        <w:spacing w:before="240" w:after="120" w:line="276" w:lineRule="auto"/>
        <w:ind w:left="0"/>
        <w:jc w:val="both"/>
        <w:rPr>
          <w:rFonts w:ascii="Times New Roman" w:eastAsia="Arial" w:hAnsi="Times New Roman" w:cs="Times New Roman"/>
          <w:sz w:val="23"/>
          <w:szCs w:val="23"/>
        </w:rPr>
      </w:pPr>
    </w:p>
    <w:p w14:paraId="4528694A" w14:textId="77777777" w:rsidR="00E52901" w:rsidRPr="00CE2474" w:rsidRDefault="00E52901" w:rsidP="00E52901">
      <w:pPr>
        <w:pStyle w:val="PargrafodaLista"/>
        <w:numPr>
          <w:ilvl w:val="3"/>
          <w:numId w:val="2"/>
        </w:numPr>
        <w:spacing w:before="240" w:after="120" w:line="276" w:lineRule="auto"/>
        <w:ind w:left="0" w:firstLine="0"/>
        <w:jc w:val="both"/>
        <w:rPr>
          <w:rFonts w:ascii="Times New Roman" w:eastAsia="Arial" w:hAnsi="Times New Roman" w:cs="Times New Roman"/>
          <w:sz w:val="23"/>
          <w:szCs w:val="23"/>
        </w:rPr>
      </w:pPr>
      <w:r w:rsidRPr="00CE2474">
        <w:rPr>
          <w:rFonts w:ascii="Times New Roman" w:hAnsi="Times New Roman" w:cs="Times New Roman"/>
          <w:sz w:val="23"/>
          <w:szCs w:val="23"/>
        </w:rPr>
        <w:t xml:space="preserve">Para fins de comprovação do quantitativo mínimo exigido, será admitida a apresentação e o somatório de diferentes atestados de capacidade técnica, executados de forma concomitante, </w:t>
      </w:r>
      <w:r w:rsidRPr="00CE2474">
        <w:rPr>
          <w:rStyle w:val="Forte"/>
          <w:rFonts w:ascii="Times New Roman" w:hAnsi="Times New Roman" w:cs="Times New Roman"/>
          <w:sz w:val="23"/>
          <w:szCs w:val="23"/>
        </w:rPr>
        <w:t>bem como a apresentação de notas fiscais que comprovem o efetivo fornecimento dos bens, objeto da contratação</w:t>
      </w:r>
      <w:r w:rsidRPr="00CE2474">
        <w:rPr>
          <w:rFonts w:ascii="Times New Roman" w:hAnsi="Times New Roman" w:cs="Times New Roman"/>
          <w:sz w:val="23"/>
          <w:szCs w:val="23"/>
        </w:rPr>
        <w:t>.</w:t>
      </w:r>
    </w:p>
    <w:p w14:paraId="1A8630A7" w14:textId="77777777" w:rsidR="00D81286" w:rsidRPr="00CE2474" w:rsidRDefault="00D81286" w:rsidP="00D81286">
      <w:pPr>
        <w:pStyle w:val="PargrafodaLista"/>
        <w:numPr>
          <w:ilvl w:val="3"/>
          <w:numId w:val="2"/>
        </w:numPr>
        <w:spacing w:before="240" w:after="120" w:line="276" w:lineRule="auto"/>
        <w:ind w:left="0" w:firstLine="0"/>
        <w:contextualSpacing w:val="0"/>
        <w:jc w:val="both"/>
        <w:rPr>
          <w:rFonts w:ascii="Times New Roman" w:eastAsia="Arial" w:hAnsi="Times New Roman" w:cs="Times New Roman"/>
          <w:sz w:val="23"/>
          <w:szCs w:val="23"/>
        </w:rPr>
      </w:pPr>
      <w:r w:rsidRPr="00CE2474">
        <w:rPr>
          <w:rFonts w:ascii="Times New Roman" w:eastAsia="Arial" w:hAnsi="Times New Roman" w:cs="Times New Roman"/>
          <w:sz w:val="23"/>
          <w:szCs w:val="23"/>
        </w:rPr>
        <w:t>Os atestados de capacidade técnica poderão ser apresentados em nome da matriz ou da filial do fornecedor.</w:t>
      </w:r>
    </w:p>
    <w:p w14:paraId="2905310A" w14:textId="77777777" w:rsidR="00D81286" w:rsidRPr="00CE2474" w:rsidRDefault="00D81286" w:rsidP="00D81286">
      <w:pPr>
        <w:pStyle w:val="PargrafodaLista"/>
        <w:numPr>
          <w:ilvl w:val="3"/>
          <w:numId w:val="2"/>
        </w:numPr>
        <w:spacing w:before="240" w:after="120" w:line="276" w:lineRule="auto"/>
        <w:ind w:left="0" w:firstLine="0"/>
        <w:contextualSpacing w:val="0"/>
        <w:jc w:val="both"/>
        <w:rPr>
          <w:rFonts w:ascii="Times New Roman" w:eastAsia="Arial" w:hAnsi="Times New Roman" w:cs="Times New Roman"/>
          <w:sz w:val="23"/>
          <w:szCs w:val="23"/>
        </w:rPr>
      </w:pPr>
      <w:r w:rsidRPr="00CE2474">
        <w:rPr>
          <w:rFonts w:ascii="Times New Roman" w:eastAsia="Arial" w:hAnsi="Times New Roman" w:cs="Times New Roman"/>
          <w:sz w:val="23"/>
          <w:szCs w:val="23"/>
        </w:rPr>
        <w:t xml:space="preserve">O fornecedor disponibilizará todas as informações necessárias à comprovação da legitimidade dos atestados, apresentando, quando solicitado pela Administração, cópia do contrato </w:t>
      </w:r>
      <w:r w:rsidRPr="00CE2474">
        <w:rPr>
          <w:rFonts w:ascii="Times New Roman" w:eastAsia="Arial" w:hAnsi="Times New Roman" w:cs="Times New Roman"/>
          <w:sz w:val="23"/>
          <w:szCs w:val="23"/>
        </w:rPr>
        <w:lastRenderedPageBreak/>
        <w:t>que deu suporte à contratação, endereço atual da contratante e local em que foi executado o objeto contratado, dentre outros documentos.</w:t>
      </w:r>
    </w:p>
    <w:p w14:paraId="47371337"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No caso de sociedade de constituída sob a forma de cooperativa, será exigida a seguinte documentação complementar:</w:t>
      </w:r>
    </w:p>
    <w:p w14:paraId="26E902DE"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 </w:t>
      </w:r>
    </w:p>
    <w:p w14:paraId="541FC8FA"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 declaração de regularidade de situação do contribuinte individual – DRSCI, para cada um dos cooperados indicados; </w:t>
      </w:r>
    </w:p>
    <w:p w14:paraId="626DFFDA"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 comprovação do capital social proporcional ao número de cooperados necessários à execução contratual; </w:t>
      </w:r>
    </w:p>
    <w:p w14:paraId="30FD30A7"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 registro previsto na Lei n. 5.764, de 1971, art. 107; </w:t>
      </w:r>
    </w:p>
    <w:p w14:paraId="7C404411"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 comprovação de integração das respectivas quotas-partes por parte dos cooperados que executarão o contrato; e</w:t>
      </w:r>
    </w:p>
    <w:p w14:paraId="4880325E"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Os seguintes documentos para a comprovação da regularidade jurídica da cooperativa: </w:t>
      </w:r>
    </w:p>
    <w:p w14:paraId="79191317" w14:textId="77777777" w:rsidR="00D81286" w:rsidRPr="00CE2474" w:rsidRDefault="00D81286" w:rsidP="00D81286">
      <w:pPr>
        <w:pStyle w:val="Nivel3"/>
        <w:numPr>
          <w:ilvl w:val="0"/>
          <w:numId w:val="4"/>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Ata de fundação; </w:t>
      </w:r>
    </w:p>
    <w:p w14:paraId="51FE5C7B" w14:textId="77777777" w:rsidR="00D81286" w:rsidRPr="00CE2474" w:rsidRDefault="00D81286" w:rsidP="00D81286">
      <w:pPr>
        <w:pStyle w:val="Nivel3"/>
        <w:numPr>
          <w:ilvl w:val="0"/>
          <w:numId w:val="4"/>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Estatuto social com a ata da assembleia que o aprovou;</w:t>
      </w:r>
    </w:p>
    <w:p w14:paraId="262EAFBB" w14:textId="77777777" w:rsidR="00D81286" w:rsidRPr="00CE2474" w:rsidRDefault="00D81286" w:rsidP="00D81286">
      <w:pPr>
        <w:pStyle w:val="Nivel3"/>
        <w:numPr>
          <w:ilvl w:val="0"/>
          <w:numId w:val="4"/>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Regimento dos fundos instituídos pelos cooperados, com a ata da assembleia; </w:t>
      </w:r>
    </w:p>
    <w:p w14:paraId="681852A0" w14:textId="77777777" w:rsidR="00D81286" w:rsidRPr="00CE2474" w:rsidRDefault="00D81286" w:rsidP="00D81286">
      <w:pPr>
        <w:pStyle w:val="Nivel3"/>
        <w:numPr>
          <w:ilvl w:val="0"/>
          <w:numId w:val="4"/>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Editais de convocação das três últimas assembleias gerais extraordinárias; </w:t>
      </w:r>
    </w:p>
    <w:p w14:paraId="0826BF16" w14:textId="77777777" w:rsidR="00D81286" w:rsidRPr="00CE2474" w:rsidRDefault="00D81286" w:rsidP="00D81286">
      <w:pPr>
        <w:pStyle w:val="Nivel3"/>
        <w:numPr>
          <w:ilvl w:val="0"/>
          <w:numId w:val="4"/>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Três registros de presença dos cooperados que executarão o contrato em assembleias gerais ou nas reuniões seccionais; e </w:t>
      </w:r>
    </w:p>
    <w:p w14:paraId="517D653D" w14:textId="77777777" w:rsidR="00D81286" w:rsidRPr="00CE2474" w:rsidRDefault="00D81286" w:rsidP="00D81286">
      <w:pPr>
        <w:pStyle w:val="Nivel3"/>
        <w:numPr>
          <w:ilvl w:val="0"/>
          <w:numId w:val="4"/>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Ata da sessão que os cooperados autorizaram a cooperativa a contratar o objeto da contratação direta ou de procedimento de licitação; </w:t>
      </w:r>
    </w:p>
    <w:p w14:paraId="52A1C27B"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 última auditoria contábil-financeira da cooperativa, conforme dispõe o art. 112 da Lei n. 5.764, de 1971, ou uma declaração, sob as penas da lei, de que tal auditoria não foi exigida pelo órgão fiscalizador.</w:t>
      </w:r>
    </w:p>
    <w:p w14:paraId="22AEC30D"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Caso atendidas as condições de participação, a habilitação do licitante provisoriamente classificado em primeiro lugar será verificada pelo Pregoeiro/Agente de Contratação/Comissão por meio do registro cadastral no SICAF, quanto aos documentos por este abrangidos.</w:t>
      </w:r>
    </w:p>
    <w:p w14:paraId="257D7F73"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A8F1B51"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 não observância do disposto no item anterior poderá ensejar desclassificação no momento da habilitação, exceto se o Pregoeiro/Agente de Contratação/Comissão, em consulta aos sítios eletrônicos oficiais de órgãos e entidades emissores de certidões, lograr êxito em encontrar a(s) certidão(</w:t>
      </w:r>
      <w:proofErr w:type="spellStart"/>
      <w:r w:rsidRPr="00CE2474">
        <w:rPr>
          <w:rFonts w:ascii="Times New Roman" w:hAnsi="Times New Roman" w:cs="Times New Roman"/>
          <w:sz w:val="23"/>
          <w:szCs w:val="23"/>
        </w:rPr>
        <w:t>ões</w:t>
      </w:r>
      <w:proofErr w:type="spellEnd"/>
      <w:r w:rsidRPr="00CE2474">
        <w:rPr>
          <w:rFonts w:ascii="Times New Roman" w:hAnsi="Times New Roman" w:cs="Times New Roman"/>
          <w:sz w:val="23"/>
          <w:szCs w:val="23"/>
        </w:rPr>
        <w:t>) válida(s).</w:t>
      </w:r>
    </w:p>
    <w:p w14:paraId="3F17E9A3"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Havendo a necessidade de envio de documentos de habilitação complementares, necessários à confirmação dos já apresentados para a habilitação, ou de documentos não constantes do SICAF, o licitante provisoriamente classificado em primeiro lugar será convocado a encaminhá-los, em formato digital, por meio do sistema, no prazo de até 5 (cinco) dias úteis, sob pena de inabilitação.</w:t>
      </w:r>
    </w:p>
    <w:p w14:paraId="136AEBAF"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Somente haverá a necessidade de comprovação do preenchimento de requisitos mediante apresentação dos documentos originais não-digitais quando houver dúvida em relação à integridade do documento digital ou quando a lei expressamente o exigir.</w:t>
      </w:r>
    </w:p>
    <w:p w14:paraId="07E04768"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Após a apresentação dos documentos de habilitação, fica vedada a substituição ou a apresentação de novos documentos, salvo em sede de diligência, para:</w:t>
      </w:r>
    </w:p>
    <w:p w14:paraId="4220286A" w14:textId="77777777" w:rsidR="00D81286" w:rsidRPr="00CE2474" w:rsidRDefault="00875DBA" w:rsidP="00D81286">
      <w:pPr>
        <w:pStyle w:val="Nivel2"/>
        <w:numPr>
          <w:ilvl w:val="0"/>
          <w:numId w:val="5"/>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Complementação</w:t>
      </w:r>
      <w:r w:rsidR="00D81286" w:rsidRPr="00CE2474">
        <w:rPr>
          <w:rFonts w:ascii="Times New Roman" w:hAnsi="Times New Roman" w:cs="Times New Roman"/>
          <w:sz w:val="23"/>
          <w:szCs w:val="23"/>
        </w:rPr>
        <w:t xml:space="preserve"> de informações acerca dos documentos já apresentados pelos licitantes e desde que necessária para apurar fatos existentes à época da abertura do certame; e</w:t>
      </w:r>
    </w:p>
    <w:p w14:paraId="66BB36DC" w14:textId="77777777" w:rsidR="00D81286" w:rsidRPr="00CE2474" w:rsidRDefault="00875DBA" w:rsidP="00D81286">
      <w:pPr>
        <w:pStyle w:val="Nivel2"/>
        <w:numPr>
          <w:ilvl w:val="0"/>
          <w:numId w:val="5"/>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Atualização</w:t>
      </w:r>
      <w:r w:rsidR="00D81286" w:rsidRPr="00CE2474">
        <w:rPr>
          <w:rFonts w:ascii="Times New Roman" w:hAnsi="Times New Roman" w:cs="Times New Roman"/>
          <w:sz w:val="23"/>
          <w:szCs w:val="23"/>
        </w:rPr>
        <w:t xml:space="preserve"> de documentos cuja validade tenha expirado após a data de recebimento das propostas.</w:t>
      </w:r>
    </w:p>
    <w:p w14:paraId="37347349"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Pregoeiro/Agente de Contratação/Comissão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7237776E"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54EDB4D7"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3E3F7BF0"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Constatado o atendimento às exigências de habilitação, o licitante será habilitado.</w:t>
      </w:r>
    </w:p>
    <w:p w14:paraId="24828C3E"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Somente serão disponibilizados para acesso público os documentos de habilitação do licitante cuja proposta atenda ao edital de licitação, após declarada sua habilitação.</w:t>
      </w:r>
    </w:p>
    <w:p w14:paraId="3F4AE923"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Não serão aceitos documentos de habilitação com indicação de CNPJ/CPF diferentes, salvo aqueles legalmente permitidos.</w:t>
      </w:r>
    </w:p>
    <w:p w14:paraId="37DEA98D"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Se o fornecedor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741B44C9" w14:textId="77777777" w:rsidR="00D81286" w:rsidRPr="00CE2474" w:rsidRDefault="00D81286" w:rsidP="00D81286">
      <w:pPr>
        <w:pStyle w:val="Nivel2"/>
        <w:numPr>
          <w:ilvl w:val="3"/>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Serão aceitos registros de CNPJ de licitante matriz e filial com diferenças de números de documentos pertinentes ao CND e ao CRF/FGTS, quando for comprovada a centralização do recolhimento dessas contribuições.</w:t>
      </w:r>
    </w:p>
    <w:p w14:paraId="552AC68F"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Quando permitida a participação de empresas estrangeiras que não funcionem no País, as exigências de habilitação serão atendidas mediante documentos equivalentes, inicialmente apresentados em tradução livre.</w:t>
      </w:r>
    </w:p>
    <w:p w14:paraId="65103962"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3A7651D9"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licitante deverá ter procurador residente e domiciliado no Brasil, com poderes para receber citação, intimação e responder administrativa e judicialmente por seus atos, juntando o instrumento de mandato com os documentos de habilitação.</w:t>
      </w:r>
    </w:p>
    <w:p w14:paraId="682EC53A"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8.660/2016, ou de outro que venha a substituí-lo, ou consularizados pelos respectivos consulados ou embaixadas.</w:t>
      </w:r>
    </w:p>
    <w:p w14:paraId="65512247"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Os documentos exigidos para fins de habilitação serão aceitos apenas por meio da Plataforma do Compras.Gov.</w:t>
      </w:r>
    </w:p>
    <w:p w14:paraId="749CE052"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Os documentos exigidos para fins de habilitação poderão ser substituídos por registro cadastral emitido por órgão ou entidade pública, desde que o registro tenha sido feito em obediência ao disposto na Lei nº 14.133/2021.</w:t>
      </w:r>
    </w:p>
    <w:p w14:paraId="4156A486"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Será verificado se o licitante apresentou declaração de que atende aos requisitos de habilitação, e o declarante responderá pela veracidade das informações prestadas, na forma da lei (art. 63, I, da Lei nº 14.133/2021).</w:t>
      </w:r>
    </w:p>
    <w:p w14:paraId="33F27089"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6D41906"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1D0F28A" w14:textId="77777777" w:rsidR="00D81286" w:rsidRPr="00CE2474" w:rsidRDefault="00D81286" w:rsidP="00D81286">
      <w:pPr>
        <w:pStyle w:val="Nivel2"/>
        <w:numPr>
          <w:ilvl w:val="1"/>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 habilitação será verificada por meio do SICAF, nos documentos por ele abrangidos.</w:t>
      </w:r>
    </w:p>
    <w:p w14:paraId="07F57F9D" w14:textId="77777777" w:rsidR="00D81286" w:rsidRPr="00CE2474" w:rsidRDefault="00D81286" w:rsidP="00D81286">
      <w:pPr>
        <w:pStyle w:val="Nivel2"/>
        <w:numPr>
          <w:ilvl w:val="2"/>
          <w:numId w:val="2"/>
        </w:numPr>
        <w:tabs>
          <w:tab w:val="left" w:pos="0"/>
        </w:tabs>
        <w:spacing w:before="240" w:after="0"/>
        <w:ind w:left="0" w:firstLine="0"/>
        <w:rPr>
          <w:rFonts w:ascii="Times New Roman" w:hAnsi="Times New Roman" w:cs="Times New Roman"/>
          <w:sz w:val="23"/>
          <w:szCs w:val="23"/>
        </w:rPr>
      </w:pPr>
      <w:r w:rsidRPr="00CE2474">
        <w:rPr>
          <w:rFonts w:ascii="Times New Roman" w:hAnsi="Times New Roman" w:cs="Times New Roman"/>
          <w:iCs/>
          <w:sz w:val="23"/>
          <w:szCs w:val="23"/>
        </w:rPr>
        <w:t>Somente haverá a necessidade de comprovação do preenchimento de requisitos mediante apresentação dos documentos originais não-digitais quando houver dúvida em relação à integridade do documento digital ou quando a lei expressamente o exigir.</w:t>
      </w:r>
    </w:p>
    <w:p w14:paraId="702D5797"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686267B"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não observância do disposto no item anterior poderá ensejar desclassificação no momento da habilitação.</w:t>
      </w:r>
    </w:p>
    <w:p w14:paraId="337F0271"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verificação pelo Pregoeiro/Agente de Contratação/Comissão, em sítios eletrônicos oficiais de órgãos e entidades emissores de certidões constitui meio legal de prova, para fins de habilitação.</w:t>
      </w:r>
    </w:p>
    <w:p w14:paraId="2A8D8703"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Os documentos exigidos para habilitação que não estejam contemplados no </w:t>
      </w:r>
      <w:proofErr w:type="spellStart"/>
      <w:r w:rsidRPr="00CE2474">
        <w:rPr>
          <w:rFonts w:ascii="Times New Roman" w:hAnsi="Times New Roman" w:cs="Times New Roman"/>
          <w:iCs/>
          <w:sz w:val="23"/>
          <w:szCs w:val="23"/>
        </w:rPr>
        <w:t>Sicaf</w:t>
      </w:r>
      <w:proofErr w:type="spellEnd"/>
      <w:r w:rsidRPr="00CE2474">
        <w:rPr>
          <w:rFonts w:ascii="Times New Roman" w:hAnsi="Times New Roman" w:cs="Times New Roman"/>
          <w:iCs/>
          <w:sz w:val="23"/>
          <w:szCs w:val="23"/>
        </w:rPr>
        <w:t xml:space="preserve"> serão enviados por meio do sistema, em formato digital, no prazo de </w:t>
      </w:r>
      <w:r w:rsidRPr="00CE2474">
        <w:rPr>
          <w:rFonts w:ascii="Times New Roman" w:hAnsi="Times New Roman" w:cs="Times New Roman"/>
          <w:b/>
          <w:bCs/>
          <w:iCs/>
          <w:sz w:val="23"/>
          <w:szCs w:val="23"/>
        </w:rPr>
        <w:t>02h (duas horas)</w:t>
      </w:r>
      <w:r w:rsidRPr="00CE2474">
        <w:rPr>
          <w:rFonts w:ascii="Times New Roman" w:hAnsi="Times New Roman" w:cs="Times New Roman"/>
          <w:iCs/>
          <w:sz w:val="23"/>
          <w:szCs w:val="23"/>
        </w:rPr>
        <w:t>, prorrogável por igual período, contado da solicitação do Pregoeiro/Agente de Contratação/Comissão.</w:t>
      </w:r>
    </w:p>
    <w:p w14:paraId="12814F64"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Instrução Normativa SEGES nº 73, de 30 de setembro de 2022.</w:t>
      </w:r>
    </w:p>
    <w:p w14:paraId="05CF65E1"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verificação no SICAF ou a exigência dos documentos nele não contidos somente será feita em relação ao licitante vencedor.</w:t>
      </w:r>
    </w:p>
    <w:p w14:paraId="00842536"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Os documentos relativos à regularidade fiscal que constem do Termo de Referência somente serão exigidos, em qualquer caso, em momento posterior ao julgamento das propostas, e apenas do licitante mais bem classificado.</w:t>
      </w:r>
    </w:p>
    <w:p w14:paraId="68942C22"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lastRenderedPageBreak/>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176DF1F1"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Após a entrega dos documentos para habilitação, não será permitida a substituição ou a apresentação de novos documentos, salvo em sede de diligência (Lei n.º 14.133/21, art. 64), para:</w:t>
      </w:r>
    </w:p>
    <w:p w14:paraId="6FE76478"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Complementação de informações acerca dos documentos já apresentados pelos licitantes e desde que necessária para apurar fatos existentes à época da abertura do certame e</w:t>
      </w:r>
    </w:p>
    <w:p w14:paraId="1B063918"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Atualização de documentos cuja validade tenha expirado após a data de recebimento das propostas.</w:t>
      </w:r>
    </w:p>
    <w:p w14:paraId="58C91DF7"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68F7B2D"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Na hipótese de o licitante não atender às exigências para habilitação, o Agente examinará a proposta subsequente e assim sucessivamente, na ordem de classificação, até a apuração de uma proposta que atenda ao presente edital, observado o prazo disposto no subitem 8.1.</w:t>
      </w:r>
    </w:p>
    <w:p w14:paraId="39753D26"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Somente serão disponibilizados para acesso público os documentos de habilitação do licitante cuja proposta atenda ao edital de licitação, após concluídos os procedimentos de que trata o subitem anterior.</w:t>
      </w:r>
    </w:p>
    <w:p w14:paraId="61B79F70"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comprovação de regularidade fiscal e trabalhista das microempresas e das empresas de pequeno porte somente será exigida para efeito de contratação, e não como condição para participação na licitação.</w:t>
      </w:r>
    </w:p>
    <w:p w14:paraId="5C6C7436"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Quando a fase de habilitação anteceder a de julgamento e já tiver sido encerrada, não caberá exclusão de licitante por motivo relacionado à habilitação, salvo em razão de fatos supervenientes ou só conhecidos após o julgamento.</w:t>
      </w:r>
    </w:p>
    <w:p w14:paraId="47B3245E" w14:textId="77777777" w:rsidR="00D81286" w:rsidRPr="00CE2474" w:rsidRDefault="00D81286" w:rsidP="00D81286">
      <w:pPr>
        <w:pStyle w:val="Nivel01"/>
        <w:rPr>
          <w:sz w:val="23"/>
          <w:szCs w:val="23"/>
        </w:rPr>
      </w:pPr>
      <w:bookmarkStart w:id="45" w:name="_Toc135469257"/>
      <w:bookmarkStart w:id="46" w:name="_Toc179572869"/>
      <w:r w:rsidRPr="00CE2474">
        <w:rPr>
          <w:sz w:val="23"/>
          <w:szCs w:val="23"/>
        </w:rPr>
        <w:t>DA ATA DE REGISTRO DE PREÇOS</w:t>
      </w:r>
      <w:bookmarkEnd w:id="45"/>
      <w:bookmarkEnd w:id="46"/>
    </w:p>
    <w:p w14:paraId="3E870171" w14:textId="77777777" w:rsidR="00D81286" w:rsidRPr="00CE2474" w:rsidRDefault="00D81286" w:rsidP="00D81286">
      <w:pPr>
        <w:pStyle w:val="Nivel2"/>
        <w:numPr>
          <w:ilvl w:val="1"/>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 Ata de Registro de Preços é documento vinculativo, de caráter obrigacional, com efeito de compromisso, sendo que a contratação com o fornecedor registrado não é obrigatória e será realizada de acordo com a necessidade do órgão gerenciador. </w:t>
      </w:r>
    </w:p>
    <w:p w14:paraId="5C4F16FA" w14:textId="77777777" w:rsidR="00D81286" w:rsidRPr="00CE2474" w:rsidRDefault="00D81286" w:rsidP="00D81286">
      <w:pPr>
        <w:pStyle w:val="Nivel2"/>
        <w:numPr>
          <w:ilvl w:val="1"/>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O fornecedor registrado deverá manter durante toda a vigência da Ata de Registro de Preços a compatibilidade com as obrigações assumidas, assim como todas as condições exigidas no instrumento convocatório e no Termo de Referência, inclusive, os referentes à habilitação e às condições de participação. </w:t>
      </w:r>
    </w:p>
    <w:p w14:paraId="6131673C" w14:textId="77777777" w:rsidR="00D81286" w:rsidRPr="00CE2474" w:rsidRDefault="00D81286" w:rsidP="00D81286">
      <w:pPr>
        <w:pStyle w:val="Nivel2"/>
        <w:numPr>
          <w:ilvl w:val="1"/>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lastRenderedPageBreak/>
        <w:t>Não será admitida a adesão à ata de registro de preços decorrente desta licitação, conforme justificativa apresentada nos estudos técnicos preliminares.</w:t>
      </w:r>
    </w:p>
    <w:p w14:paraId="3F5250A6" w14:textId="77777777" w:rsidR="00D81286" w:rsidRPr="00CE2474" w:rsidRDefault="00D81286" w:rsidP="00D81286">
      <w:pPr>
        <w:pStyle w:val="Nivel2"/>
        <w:numPr>
          <w:ilvl w:val="1"/>
          <w:numId w:val="2"/>
        </w:numPr>
        <w:spacing w:before="240"/>
        <w:ind w:left="0" w:firstLine="0"/>
        <w:rPr>
          <w:rFonts w:ascii="Times New Roman" w:hAnsi="Times New Roman" w:cs="Times New Roman"/>
          <w:iCs/>
          <w:sz w:val="23"/>
          <w:szCs w:val="23"/>
        </w:rPr>
      </w:pPr>
      <w:r w:rsidRPr="00CE2474">
        <w:rPr>
          <w:rFonts w:ascii="Times New Roman" w:hAnsi="Times New Roman" w:cs="Times New Roman"/>
          <w:b/>
          <w:bCs/>
          <w:iCs/>
          <w:sz w:val="23"/>
          <w:szCs w:val="23"/>
        </w:rPr>
        <w:t xml:space="preserve">Da vigência da Ata de Registro de Preços </w:t>
      </w:r>
    </w:p>
    <w:p w14:paraId="53ECC0B4" w14:textId="77777777" w:rsidR="00D81286" w:rsidRPr="00CE2474" w:rsidRDefault="00710505" w:rsidP="00D81286">
      <w:pPr>
        <w:pStyle w:val="Nivel2"/>
        <w:numPr>
          <w:ilvl w:val="2"/>
          <w:numId w:val="2"/>
        </w:numPr>
        <w:spacing w:before="240"/>
        <w:ind w:left="0" w:firstLine="0"/>
        <w:rPr>
          <w:rFonts w:ascii="Times New Roman" w:hAnsi="Times New Roman" w:cs="Times New Roman"/>
          <w:b/>
          <w:bCs/>
          <w:iCs/>
          <w:sz w:val="23"/>
          <w:szCs w:val="23"/>
        </w:rPr>
      </w:pPr>
      <w:r w:rsidRPr="00CE2474">
        <w:rPr>
          <w:rFonts w:ascii="Times New Roman" w:hAnsi="Times New Roman" w:cs="Times New Roman"/>
          <w:iCs/>
          <w:sz w:val="23"/>
          <w:szCs w:val="23"/>
        </w:rPr>
        <w:t>Prazo</w:t>
      </w:r>
      <w:r w:rsidR="00D81286" w:rsidRPr="00CE2474">
        <w:rPr>
          <w:rFonts w:ascii="Times New Roman" w:hAnsi="Times New Roman" w:cs="Times New Roman"/>
          <w:iCs/>
          <w:sz w:val="23"/>
          <w:szCs w:val="23"/>
        </w:rPr>
        <w:t xml:space="preserve"> de validade da Ata de Registro de Preços é de 01 (um) ano, contado a partir da data de divulgação no Portal Nacional de Compras Públicas – PNCP.</w:t>
      </w:r>
    </w:p>
    <w:p w14:paraId="3CA98F69"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O prazo de validade da Ata de Registro de Preço pode ser prorrogado por igual período, quando ocorrerá a renovação do quantitativo inicialmente registrado, desde que comprovada a vantajosidade do preço registrado, mediante pesquisa de mercado que leve em consideração os parâmetros fixados no art. 49 deste Decreto Municipal n° 14.730/2023, conforme art. 129 da referida norma municipal.</w:t>
      </w:r>
    </w:p>
    <w:p w14:paraId="4FEF76B3" w14:textId="77777777" w:rsidR="00D81286" w:rsidRPr="00CE2474" w:rsidRDefault="00D81286" w:rsidP="00D81286">
      <w:pPr>
        <w:pStyle w:val="Nivel2"/>
        <w:numPr>
          <w:ilvl w:val="1"/>
          <w:numId w:val="2"/>
        </w:numPr>
        <w:spacing w:before="240"/>
        <w:ind w:left="0" w:firstLine="0"/>
        <w:rPr>
          <w:rFonts w:ascii="Times New Roman" w:hAnsi="Times New Roman" w:cs="Times New Roman"/>
          <w:b/>
          <w:bCs/>
          <w:iCs/>
          <w:sz w:val="23"/>
          <w:szCs w:val="23"/>
        </w:rPr>
      </w:pPr>
      <w:r w:rsidRPr="00CE2474">
        <w:rPr>
          <w:rFonts w:ascii="Times New Roman" w:hAnsi="Times New Roman" w:cs="Times New Roman"/>
          <w:b/>
          <w:bCs/>
          <w:iCs/>
          <w:sz w:val="23"/>
          <w:szCs w:val="23"/>
        </w:rPr>
        <w:t xml:space="preserve">Da assinatura da Ata de Registro de Preços </w:t>
      </w:r>
    </w:p>
    <w:p w14:paraId="30A99CC7"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Homologado o resultado do procedimento, o proponente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75F03969"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O prazo de convocação poderá ser prorrogado uma vez, por igual período, mediante solicitação do licitante mais bem classificado ou do fornecedor convocado, desde que: </w:t>
      </w:r>
    </w:p>
    <w:p w14:paraId="1BD7570D" w14:textId="77777777" w:rsidR="00D81286" w:rsidRPr="00CE2474" w:rsidRDefault="00D81286" w:rsidP="00D81286">
      <w:pPr>
        <w:pStyle w:val="Nivel2"/>
        <w:numPr>
          <w:ilvl w:val="3"/>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 solicitação seja devidamente justificada e apresentada dentro do prazo; e </w:t>
      </w:r>
    </w:p>
    <w:p w14:paraId="2F334266" w14:textId="77777777" w:rsidR="00D81286" w:rsidRPr="00CE2474" w:rsidRDefault="00D81286" w:rsidP="00D81286">
      <w:pPr>
        <w:pStyle w:val="Nivel2"/>
        <w:numPr>
          <w:ilvl w:val="3"/>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 justificativa apresentada seja aceita pela Administração. </w:t>
      </w:r>
    </w:p>
    <w:p w14:paraId="5C871121"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A Ata de Registro de Preços será assinada por meio de assinatura digital.</w:t>
      </w:r>
    </w:p>
    <w:p w14:paraId="44A9032B"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Serão formalizadas tantas Atas de Registro de Preços quantas forem necessárias para o registro de todos os itens constantes no Termo de Referência, com a indicação do fornecedor registrado, a descrição do(s) item(ns), as respectivas quantidades, preços registrados e demais condições. </w:t>
      </w:r>
    </w:p>
    <w:p w14:paraId="22EB5CD8"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14:paraId="3A55843D" w14:textId="77777777" w:rsidR="00D81286" w:rsidRPr="00CE2474" w:rsidRDefault="00D81286" w:rsidP="00D81286">
      <w:pPr>
        <w:pStyle w:val="Nivel2"/>
        <w:numPr>
          <w:ilvl w:val="1"/>
          <w:numId w:val="2"/>
        </w:numPr>
        <w:spacing w:before="240"/>
        <w:ind w:left="0" w:firstLine="0"/>
        <w:rPr>
          <w:rFonts w:ascii="Times New Roman" w:hAnsi="Times New Roman" w:cs="Times New Roman"/>
          <w:b/>
          <w:bCs/>
          <w:iCs/>
          <w:sz w:val="23"/>
          <w:szCs w:val="23"/>
        </w:rPr>
      </w:pPr>
      <w:r w:rsidRPr="00CE2474">
        <w:rPr>
          <w:rFonts w:ascii="Times New Roman" w:hAnsi="Times New Roman" w:cs="Times New Roman"/>
          <w:b/>
          <w:bCs/>
          <w:iCs/>
          <w:sz w:val="23"/>
          <w:szCs w:val="23"/>
        </w:rPr>
        <w:t xml:space="preserve">Do preço registrado </w:t>
      </w:r>
    </w:p>
    <w:p w14:paraId="7DBEF3B8"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O preço unitário de cada item registrado é o constante da(s) proposta(s) final(</w:t>
      </w:r>
      <w:proofErr w:type="spellStart"/>
      <w:r w:rsidRPr="00CE2474">
        <w:rPr>
          <w:rFonts w:ascii="Times New Roman" w:hAnsi="Times New Roman" w:cs="Times New Roman"/>
          <w:iCs/>
          <w:sz w:val="23"/>
          <w:szCs w:val="23"/>
        </w:rPr>
        <w:t>is</w:t>
      </w:r>
      <w:proofErr w:type="spellEnd"/>
      <w:r w:rsidRPr="00CE2474">
        <w:rPr>
          <w:rFonts w:ascii="Times New Roman" w:hAnsi="Times New Roman" w:cs="Times New Roman"/>
          <w:iCs/>
          <w:sz w:val="23"/>
          <w:szCs w:val="23"/>
        </w:rPr>
        <w:t xml:space="preserve">), cujos valores estão reunidos na Ata de Registro de Preços. </w:t>
      </w:r>
    </w:p>
    <w:p w14:paraId="2198D8B3"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lastRenderedPageBreak/>
        <w:t xml:space="preserve">Os preços registrados poderão ser revistos e alterados em decorrência de eventual redução dos preços praticados no mercado ou de fato que eleve o custo dos bens registrados, em caso de força maior, caso fortuito ou fato do príncipe ou em decorrência de fatos imprevisíveis ou previsíveis de consequências incalculáveis, que inviabilizem a execução da ata tal como pactuado, nos termos da alínea d do inciso II do caput do art. 124 da Lei nº 14.133/2021.  </w:t>
      </w:r>
    </w:p>
    <w:p w14:paraId="7FBE126E"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Quando o preço registrado se tornar superior ao preço praticado no mercado por motivo superveniente, o gerenciador convocará o(s) fornecedor(es) para negociar a redução dos preços aos valores praticados pelo mercado, na ordem de classificação.  </w:t>
      </w:r>
    </w:p>
    <w:p w14:paraId="39D60A23"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Caso o(s) fornecedor(es) cadastrado(s) para o item ou lote não aceite(m) reduzir seu preço ao valor praticado pelo mercado deverá(</w:t>
      </w:r>
      <w:proofErr w:type="spellStart"/>
      <w:r w:rsidRPr="00CE2474">
        <w:rPr>
          <w:rFonts w:ascii="Times New Roman" w:hAnsi="Times New Roman" w:cs="Times New Roman"/>
          <w:iCs/>
          <w:sz w:val="23"/>
          <w:szCs w:val="23"/>
        </w:rPr>
        <w:t>ão</w:t>
      </w:r>
      <w:proofErr w:type="spellEnd"/>
      <w:r w:rsidRPr="00CE2474">
        <w:rPr>
          <w:rFonts w:ascii="Times New Roman" w:hAnsi="Times New Roman" w:cs="Times New Roman"/>
          <w:iCs/>
          <w:sz w:val="23"/>
          <w:szCs w:val="23"/>
        </w:rPr>
        <w:t xml:space="preserve">) ser liberado(s) do compromisso assumido, sem aplicação de penalidades administrativas. </w:t>
      </w:r>
    </w:p>
    <w:p w14:paraId="634FA413" w14:textId="77777777" w:rsidR="00D81286" w:rsidRPr="00CE2474" w:rsidRDefault="00D81286" w:rsidP="00D81286">
      <w:pPr>
        <w:pStyle w:val="Nivel2"/>
        <w:numPr>
          <w:ilvl w:val="3"/>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Havendo a liberação do(s) fornecedor(es), nos termos do item 10.9.3, o órgão gerenciador deverá convocar os proponentes do Cadastro de Reserva, na ordem de classificação, para verificar se aceitam reduzir seus preços aos valores de mercado.  </w:t>
      </w:r>
    </w:p>
    <w:p w14:paraId="0156520F"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A ordem de classificação dos fornecedores que aceitarem reduzir seus preços aos valores de mercado observará a classificação original.</w:t>
      </w:r>
    </w:p>
    <w:p w14:paraId="6796C52A"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Não havendo êxito nas negociações, o gerenciador deverá proceder ao cancelamento da Ata de Registro de Preços, com a adoção das medidas cabíveis para obtenção da contratação mais vantajosa.</w:t>
      </w:r>
    </w:p>
    <w:p w14:paraId="1E16D38C"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Quando o preço de mercado se tornar superior aos preços registrados e o fornecedor, mediante requerimento devidamente fundamentado, não puder cumprir as obrigações contidas na Ata de Registro de Preços, ser-lhe-á facultado requerer ao gerenciador a alteração dos preços registrados, mediante comprovação de fato superveniente que supostamente o impossibilite de cumprir o compromisso.</w:t>
      </w:r>
    </w:p>
    <w:p w14:paraId="6CBE6764"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O fornecedor deverá encaminhar, juntamente com o pedido de alteração, documentação comprobatória ou planilha de custos que demonstre que o preço registrado se tornou inviável frente às condições inicialmente pactuadas, cabendo ao gerenciador a análise e deliberação a respeito do pedido.</w:t>
      </w:r>
    </w:p>
    <w:p w14:paraId="5F9156BF" w14:textId="77777777" w:rsidR="00D81286" w:rsidRPr="00CE2474" w:rsidRDefault="00D81286" w:rsidP="00D81286">
      <w:pPr>
        <w:pStyle w:val="Nivel2"/>
        <w:numPr>
          <w:ilvl w:val="3"/>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Na hipótese de deferimento do pedido, o gerenciador procederá à atualização do preço registrado, de acordo com a realidade dos valores praticados pelo mercado.</w:t>
      </w:r>
    </w:p>
    <w:p w14:paraId="65B9BB1F"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O fornecedor do compromisso assumido poderá ser liberado pelo gerenciador, caso a comunicação ocorra antes do pedido de fornecimento, e sem aplicação de penalidades administrativas, se confirmada a veracidade dos motivos e comprovantes apresentados.</w:t>
      </w:r>
    </w:p>
    <w:p w14:paraId="214C7705"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Caso não demonstrada a existência de fato superveniente que torne insubsistente o preço registrado, o pedido será indeferido pelo gerenciador, ficando o fornecedor obrigado a cumprir as </w:t>
      </w:r>
      <w:r w:rsidRPr="00CE2474">
        <w:rPr>
          <w:rFonts w:ascii="Times New Roman" w:hAnsi="Times New Roman" w:cs="Times New Roman"/>
          <w:iCs/>
          <w:sz w:val="23"/>
          <w:szCs w:val="23"/>
        </w:rPr>
        <w:lastRenderedPageBreak/>
        <w:t>obrigações contidas na Ata de Registro de Preços, sob pena de cancelamento do seu registro, sem prejuízo das sanções previstas na Lei nº 14.133/2021, no instrumento convocatório, quando houver, e no Termo de Referência, e em outras legislações aplicáveis.</w:t>
      </w:r>
    </w:p>
    <w:p w14:paraId="0D7EBDBB"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Havendo cancelamento do registro do fornecedor, nos termos do item 10.9.11, o gerenciador deverá convocar os proponentes do Cadastro de Reserva, observada a ordem de classificação, para verificar se aceitam manter seus preços registrados.</w:t>
      </w:r>
    </w:p>
    <w:p w14:paraId="52416A47"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Não havendo êxito nas negociações, o gerenciador deverá proceder ao cancelamento da Ata de Registro de Preços, adotando as medidas cabíveis para obtenção da contratação mais vantajosa.</w:t>
      </w:r>
    </w:p>
    <w:p w14:paraId="3296FA3D"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Os novos valores a serem registrados, conforme itens deverão ser formalizados mediante termo aditivo à Ata de Registro de Preços.</w:t>
      </w:r>
    </w:p>
    <w:p w14:paraId="650AC4D5"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Os preços registrados poderão, ainda, ser reajustados ou repactuados. </w:t>
      </w:r>
    </w:p>
    <w:p w14:paraId="692E14F0" w14:textId="77777777" w:rsidR="00D81286" w:rsidRPr="00CE2474" w:rsidRDefault="00D81286" w:rsidP="00D81286">
      <w:pPr>
        <w:pStyle w:val="Nivel2"/>
        <w:numPr>
          <w:ilvl w:val="3"/>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O reajustamento ou repactuação poderá ser efetuado mediante apostilamento.</w:t>
      </w:r>
    </w:p>
    <w:p w14:paraId="27E63B2B"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Os preços registrados serão reajustados, após o interregno de 1 (um) ano, mediante solicitação da contratada, como forma de manutenção do equilíbrio econômico-financeiro da Ata de Registros de Preços.  </w:t>
      </w:r>
    </w:p>
    <w:p w14:paraId="2711E03C" w14:textId="77777777" w:rsidR="00E52901" w:rsidRPr="00CE2474" w:rsidRDefault="00E52901" w:rsidP="00E52901">
      <w:pPr>
        <w:pStyle w:val="Nivel2"/>
        <w:numPr>
          <w:ilvl w:val="3"/>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O interregno mínimo de 1 (um) ano para o primeiro reajuste será contado da data do orçamento a que se referir a proposta do fornecedor, conforme previsto no §1º do art. 155 do Decreto Municipal n. º14.730/2023.</w:t>
      </w:r>
    </w:p>
    <w:p w14:paraId="1C3AC4B8"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Nos reajustes subsequentes ao primeiro, o interregno mínimo de 1 (um) ano será contado a partir da data do fato gerador que deu ensejo ao último reajuste.  </w:t>
      </w:r>
    </w:p>
    <w:p w14:paraId="159993F3"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Os preços iniciais serão reajustados, mediante a aplicação, pela contratante, do índice IPCA (Índice Nacional de Preços ao Consumidor Amplo, calculado e divulgado pelo IBGE).</w:t>
      </w:r>
    </w:p>
    <w:p w14:paraId="3FCD813B"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No caso de atraso ou não divulgação do(s) índice(s) de reajustamento, o CONTRATANTE pagará ao CONTRATADO a importância calculada pela última variação conhecida, liquidando a diferença correspondente tão logo seja(m) divulgado(s) o(s) índice(s) definitivo(s).  </w:t>
      </w:r>
    </w:p>
    <w:p w14:paraId="49E397DD"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Fica o CONTRATADO obrigado a apresentar memória de cálculo referente ao reajustamento de preços do valor remanescente, sempre que este ocorrer, sendo adotado na aferição final o índice definitivo.  </w:t>
      </w:r>
    </w:p>
    <w:p w14:paraId="3B45D48C"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Caso o(s) índice(s) estabelecido(s) para reajustamento venha(m) a ser extinto(s) ou de qualquer forma não possa(m) mais ser utilizado(s), será(</w:t>
      </w:r>
      <w:proofErr w:type="spellStart"/>
      <w:r w:rsidRPr="00CE2474">
        <w:rPr>
          <w:rFonts w:ascii="Times New Roman" w:hAnsi="Times New Roman" w:cs="Times New Roman"/>
          <w:iCs/>
          <w:sz w:val="23"/>
          <w:szCs w:val="23"/>
        </w:rPr>
        <w:t>ão</w:t>
      </w:r>
      <w:proofErr w:type="spellEnd"/>
      <w:r w:rsidRPr="00CE2474">
        <w:rPr>
          <w:rFonts w:ascii="Times New Roman" w:hAnsi="Times New Roman" w:cs="Times New Roman"/>
          <w:iCs/>
          <w:sz w:val="23"/>
          <w:szCs w:val="23"/>
        </w:rPr>
        <w:t xml:space="preserve">) adotado(s), em substituição, o(s) que vier(em) a ser determinado(s) pela legislação então em vigor.  </w:t>
      </w:r>
    </w:p>
    <w:p w14:paraId="00F7E1D8"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lastRenderedPageBreak/>
        <w:t xml:space="preserve">Na ausência de previsão legal quanto ao índice substituto, as partes elegerão novo índice oficial, para reajustamento do preço do valor remanescente dos custos decorrentes do mercado, por meio de termo aditivo.  </w:t>
      </w:r>
    </w:p>
    <w:p w14:paraId="409FCCEC"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O pedido de reajuste deverá ser formulado durante a vigência da Ata de Registro de Preços e antes de eventual prorrogação da Ata de Registro de Preços, sob pena de preclusão.  </w:t>
      </w:r>
    </w:p>
    <w:p w14:paraId="4D854F14"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Os efeitos financeiros do pedido de reajuste serão contados: a) da data-base prevista no Contrato, desde que requerido no prazo de 60 (sessenta) dias da data de publicação do índice ajustado contratualmente; b) a partir da data do requerimento da contratante, caso o pedido seja formulado após o prazo fixado na alínea a, acima, o que não acarretará a alteração do marco para cômputo da anualidade do reajuste, já adotado no edital e no contrato.  </w:t>
      </w:r>
    </w:p>
    <w:p w14:paraId="0E37934D"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Caso, na data da prorrogação Ata de Registro de Preços, ainda não tenha sido divulgado o índice de reajuste, deverá, a requerimento da contratada, ser inserida cláusula no termo aditivo de prorrogação para resguardar o direito futuro da contratada, a ser exercido tão logo se disponha dos valores reajustados, sob pena de preclusão.  </w:t>
      </w:r>
    </w:p>
    <w:p w14:paraId="051AAD12"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 extinção do Ata de Registro de Preços não configurará óbice para o deferimento do reajuste solicitado tempestivamente, hipótese em que será concedido por meio de termo indenizatório.  </w:t>
      </w:r>
    </w:p>
    <w:p w14:paraId="6B6E3293"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O reajuste será realizado por apostilamento. </w:t>
      </w:r>
    </w:p>
    <w:p w14:paraId="7D972397" w14:textId="77777777" w:rsidR="00D81286" w:rsidRPr="00CE2474" w:rsidRDefault="00D81286" w:rsidP="00D81286">
      <w:pPr>
        <w:pStyle w:val="Nivel2"/>
        <w:numPr>
          <w:ilvl w:val="2"/>
          <w:numId w:val="2"/>
        </w:numPr>
        <w:spacing w:before="240"/>
        <w:ind w:left="0" w:firstLine="0"/>
        <w:rPr>
          <w:rFonts w:ascii="Times New Roman" w:hAnsi="Times New Roman" w:cs="Times New Roman"/>
          <w:iCs/>
          <w:sz w:val="23"/>
          <w:szCs w:val="23"/>
        </w:rPr>
      </w:pPr>
      <w:r w:rsidRPr="00CE2474">
        <w:rPr>
          <w:rFonts w:ascii="Times New Roman" w:hAnsi="Times New Roman" w:cs="Times New Roman"/>
          <w:sz w:val="23"/>
          <w:szCs w:val="23"/>
        </w:rPr>
        <w:t xml:space="preserve">O reajuste dos preços não interfere no direito das partes de solicitar, a qualquer momento, a manutenção do equilíbrio econômico dos contratos com base no disposto no art. 124, inciso II, alínea “d”, da Lei nº 14.133/2021. </w:t>
      </w:r>
    </w:p>
    <w:p w14:paraId="0D5F9519" w14:textId="77777777" w:rsidR="00D81286" w:rsidRPr="00CE2474" w:rsidRDefault="00D81286" w:rsidP="00D81286">
      <w:pPr>
        <w:pStyle w:val="Nivel2"/>
        <w:numPr>
          <w:ilvl w:val="1"/>
          <w:numId w:val="2"/>
        </w:numPr>
        <w:spacing w:before="240"/>
        <w:ind w:left="0" w:firstLine="0"/>
        <w:rPr>
          <w:rFonts w:ascii="Times New Roman" w:hAnsi="Times New Roman" w:cs="Times New Roman"/>
          <w:b/>
          <w:bCs/>
          <w:iCs/>
          <w:sz w:val="23"/>
          <w:szCs w:val="23"/>
        </w:rPr>
      </w:pPr>
      <w:r w:rsidRPr="00CE2474">
        <w:rPr>
          <w:rFonts w:ascii="Times New Roman" w:hAnsi="Times New Roman" w:cs="Times New Roman"/>
          <w:b/>
          <w:bCs/>
          <w:iCs/>
          <w:sz w:val="23"/>
          <w:szCs w:val="23"/>
        </w:rPr>
        <w:t xml:space="preserve">Da alteração da Ata de Registro de Preços </w:t>
      </w:r>
    </w:p>
    <w:p w14:paraId="26E79595"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O Órgão Gerenciador poderá alterar a Ata de Registro de Preços, quantitativamente e qualitativamente, por meio de Termo Aditivo.</w:t>
      </w:r>
    </w:p>
    <w:p w14:paraId="1D624322"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b/>
          <w:bCs/>
          <w:iCs/>
          <w:sz w:val="23"/>
          <w:szCs w:val="23"/>
        </w:rPr>
      </w:pPr>
      <w:r w:rsidRPr="00CE2474">
        <w:rPr>
          <w:rFonts w:ascii="Times New Roman" w:hAnsi="Times New Roman" w:cs="Times New Roman"/>
          <w:b/>
          <w:bCs/>
          <w:iCs/>
          <w:sz w:val="23"/>
          <w:szCs w:val="23"/>
        </w:rPr>
        <w:t>Da Execução Contratual:</w:t>
      </w:r>
    </w:p>
    <w:p w14:paraId="5DB62633" w14:textId="3CE4686A"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O prazo de entrega e dos bens é de </w:t>
      </w:r>
      <w:r w:rsidR="00B732F0" w:rsidRPr="00CE2474">
        <w:rPr>
          <w:rFonts w:ascii="Times New Roman" w:hAnsi="Times New Roman" w:cs="Times New Roman"/>
          <w:b/>
          <w:bCs/>
          <w:iCs/>
          <w:sz w:val="23"/>
          <w:szCs w:val="23"/>
        </w:rPr>
        <w:t>30 (trinta</w:t>
      </w:r>
      <w:r w:rsidRPr="00CE2474">
        <w:rPr>
          <w:rFonts w:ascii="Times New Roman" w:hAnsi="Times New Roman" w:cs="Times New Roman"/>
          <w:b/>
          <w:bCs/>
          <w:iCs/>
          <w:sz w:val="23"/>
          <w:szCs w:val="23"/>
        </w:rPr>
        <w:t>) dias corridos</w:t>
      </w:r>
      <w:r w:rsidRPr="00CE2474">
        <w:rPr>
          <w:rFonts w:ascii="Times New Roman" w:hAnsi="Times New Roman" w:cs="Times New Roman"/>
          <w:iCs/>
          <w:sz w:val="23"/>
          <w:szCs w:val="23"/>
        </w:rPr>
        <w:t>, contados do recebimento da Ordem de Compra.</w:t>
      </w:r>
    </w:p>
    <w:p w14:paraId="2FE44ADE"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Caso não seja possível a entrega na data assinalada, a empresa deverá comunicar as razões respectivas com pelo menos 03 (três) dias corridos de antecedência para que qualquer pleito de prorrogação de prazo seja analisado, ressalvadas situações de caso fortuito e força maior.</w:t>
      </w:r>
    </w:p>
    <w:p w14:paraId="64190668"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Ordem de Compra será encaminhada à empresa através de e-mail ou outro instrumento eficaz de comunicação, acompanhada do Termo de Referência, da proposta comercial vencedora.</w:t>
      </w:r>
    </w:p>
    <w:p w14:paraId="2F17A2DE"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lastRenderedPageBreak/>
        <w:t>Quando enviado por meio eletrônico, a contratada deverá confirmar o recebimento da Ordem de Compra e, na ausência da confirmação, fica fixado prazo de recebimento tácito de 2 (dois) dias úteis, a fim de possibilitar a verificação da data da sua ciência (ainda que ficta) e eventual constituição em mora.</w:t>
      </w:r>
    </w:p>
    <w:p w14:paraId="38CFE562" w14:textId="77777777" w:rsidR="00D81286" w:rsidRPr="00CE2474" w:rsidRDefault="00D81286" w:rsidP="00D81286">
      <w:pPr>
        <w:pStyle w:val="Nivel01"/>
        <w:rPr>
          <w:sz w:val="23"/>
          <w:szCs w:val="23"/>
        </w:rPr>
      </w:pPr>
      <w:bookmarkStart w:id="47" w:name="_Toc135469258"/>
      <w:bookmarkStart w:id="48" w:name="_Toc179572870"/>
      <w:r w:rsidRPr="00CE2474">
        <w:rPr>
          <w:sz w:val="23"/>
          <w:szCs w:val="23"/>
        </w:rPr>
        <w:t>DA FORMAÇÃO DO CADASTRO DE RESERVA</w:t>
      </w:r>
      <w:bookmarkEnd w:id="47"/>
      <w:bookmarkEnd w:id="48"/>
    </w:p>
    <w:p w14:paraId="1A9FA610"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Após a homologação da licitação, será incluído na ata, na forma de anexo, o registro: </w:t>
      </w:r>
    </w:p>
    <w:p w14:paraId="79B275E5"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Dos licitantes que aceitarem cotar o objeto com preço igual ao do adjudicatário, observada a classificação na licitação; e  </w:t>
      </w:r>
    </w:p>
    <w:p w14:paraId="4E61DA56"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Dos licitantes que mantiverem sua proposta original. </w:t>
      </w:r>
    </w:p>
    <w:p w14:paraId="1B01F0BB"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Será respeitada, nas contratações, a ordem de classificação dos licitantes ou fornecedores registrados na ata.</w:t>
      </w:r>
    </w:p>
    <w:p w14:paraId="347D0775"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apresentação de novas propostas na forma deste item não prejudicará o resultado do certame em relação ao licitante mais bem classificado. </w:t>
      </w:r>
    </w:p>
    <w:p w14:paraId="3B93DEF5"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Para fins da ordem de classificação, os licitantes ou fornecedores que aceitarem cotar o objeto com preço igual ao do adjudicatário antecederão aqueles que mantiverem sua proposta original.</w:t>
      </w:r>
    </w:p>
    <w:p w14:paraId="32DD3379"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habilitação dos licitantes que comporão o cadastro de reserva será efetuada quando houver necessidade de contratação dos licitantes remanescentes, nas seguintes hipóteses:</w:t>
      </w:r>
    </w:p>
    <w:p w14:paraId="6B0C73F5"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Quando o licitante vencedor não assinar a ata de registro de preços no prazo e nas condições estabelecidos no edital; ou </w:t>
      </w:r>
    </w:p>
    <w:p w14:paraId="57C97763"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Quando houver o cancelamento do registro do fornecedor ou do registro de preços, nas hipóteses previstas nos art. 28 e art. 29 do Decreto nº 11.462/23.</w:t>
      </w:r>
    </w:p>
    <w:p w14:paraId="66F5F4B1"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4B92171"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Convocar os licitantes que mantiveram sua proposta original para negociação, na ordem de classificação, com vistas à obtenção de preço melhor, mesmo que acima do preço do adjudicatário; ou</w:t>
      </w:r>
    </w:p>
    <w:p w14:paraId="4D44982F"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Adjudicar e firmar o contrato nas condições ofertadas pelos licitantes remanescentes, observada a ordem de classificação, quando frustrada a negociação de melhor condição.</w:t>
      </w:r>
    </w:p>
    <w:p w14:paraId="5B8F1C63" w14:textId="77777777" w:rsidR="00D81286" w:rsidRPr="00CE2474" w:rsidRDefault="00D81286" w:rsidP="00D81286">
      <w:pPr>
        <w:pStyle w:val="Nivel01"/>
        <w:rPr>
          <w:sz w:val="23"/>
          <w:szCs w:val="23"/>
        </w:rPr>
      </w:pPr>
      <w:bookmarkStart w:id="49" w:name="_Toc135469259"/>
      <w:bookmarkStart w:id="50" w:name="_Toc179572871"/>
      <w:r w:rsidRPr="00CE2474">
        <w:rPr>
          <w:sz w:val="23"/>
          <w:szCs w:val="23"/>
        </w:rPr>
        <w:lastRenderedPageBreak/>
        <w:t>DOS RECURSOS</w:t>
      </w:r>
      <w:bookmarkEnd w:id="49"/>
      <w:bookmarkEnd w:id="50"/>
    </w:p>
    <w:p w14:paraId="476159F1" w14:textId="77777777" w:rsidR="00E52901" w:rsidRPr="00CE2474" w:rsidRDefault="00E52901" w:rsidP="00E52901">
      <w:pPr>
        <w:pStyle w:val="Nvel2-Red"/>
        <w:rPr>
          <w:rFonts w:ascii="Times New Roman" w:hAnsi="Times New Roman" w:cs="Times New Roman"/>
          <w:i w:val="0"/>
          <w:iCs w:val="0"/>
          <w:color w:val="auto"/>
          <w:sz w:val="23"/>
          <w:szCs w:val="23"/>
        </w:rPr>
      </w:pPr>
      <w:bookmarkStart w:id="51" w:name="_Toc135469260"/>
      <w:bookmarkStart w:id="52" w:name="_Toc179572872"/>
      <w:r w:rsidRPr="00CE2474">
        <w:rPr>
          <w:rFonts w:ascii="Times New Roman" w:hAnsi="Times New Roman" w:cs="Times New Roman"/>
          <w:i w:val="0"/>
          <w:iCs w:val="0"/>
          <w:color w:val="auto"/>
          <w:sz w:val="23"/>
          <w:szCs w:val="23"/>
        </w:rPr>
        <w:t xml:space="preserve">A interposição de recurso referente ao julgamento das propostas, à habilitação ou inabilitação de licitantes, à anulação ou revogação da licitação, observará o disposto no </w:t>
      </w:r>
      <w:hyperlink r:id="rId29" w:anchor="art165" w:history="1">
        <w:r w:rsidRPr="00CE2474">
          <w:rPr>
            <w:rStyle w:val="Hyperlink"/>
            <w:rFonts w:ascii="Times New Roman" w:hAnsi="Times New Roman" w:cs="Times New Roman"/>
            <w:i w:val="0"/>
            <w:iCs w:val="0"/>
            <w:color w:val="auto"/>
            <w:sz w:val="23"/>
            <w:szCs w:val="23"/>
            <w:u w:val="none"/>
          </w:rPr>
          <w:t>art. 165 da Lei nº 14.133, de 2021</w:t>
        </w:r>
      </w:hyperlink>
      <w:r w:rsidRPr="00CE2474">
        <w:rPr>
          <w:rFonts w:ascii="Times New Roman" w:hAnsi="Times New Roman" w:cs="Times New Roman"/>
          <w:i w:val="0"/>
          <w:iCs w:val="0"/>
          <w:color w:val="auto"/>
          <w:sz w:val="23"/>
          <w:szCs w:val="23"/>
        </w:rPr>
        <w:t>.</w:t>
      </w:r>
    </w:p>
    <w:p w14:paraId="7CC454EE" w14:textId="77777777" w:rsidR="00E52901" w:rsidRPr="00CE2474" w:rsidRDefault="00E52901" w:rsidP="00E52901">
      <w:pPr>
        <w:pStyle w:val="Nvel2-Red"/>
        <w:rPr>
          <w:rFonts w:ascii="Times New Roman" w:hAnsi="Times New Roman" w:cs="Times New Roman"/>
          <w:i w:val="0"/>
          <w:iCs w:val="0"/>
          <w:color w:val="auto"/>
          <w:sz w:val="23"/>
          <w:szCs w:val="23"/>
        </w:rPr>
      </w:pPr>
      <w:r w:rsidRPr="00CE2474">
        <w:rPr>
          <w:rFonts w:ascii="Times New Roman" w:hAnsi="Times New Roman" w:cs="Times New Roman"/>
          <w:i w:val="0"/>
          <w:iCs w:val="0"/>
          <w:color w:val="auto"/>
          <w:sz w:val="23"/>
          <w:szCs w:val="23"/>
        </w:rPr>
        <w:t>O prazo recursal é de 3 (três) dias úteis, contados da data de intimação ou de lavratura da ata.</w:t>
      </w:r>
    </w:p>
    <w:p w14:paraId="12FB1B43" w14:textId="77777777" w:rsidR="00E52901" w:rsidRPr="00CE2474" w:rsidRDefault="00E52901" w:rsidP="00E52901">
      <w:pPr>
        <w:pStyle w:val="Nvel2-Red"/>
        <w:rPr>
          <w:rFonts w:ascii="Times New Roman" w:hAnsi="Times New Roman" w:cs="Times New Roman"/>
          <w:i w:val="0"/>
          <w:iCs w:val="0"/>
          <w:color w:val="auto"/>
          <w:sz w:val="23"/>
          <w:szCs w:val="23"/>
        </w:rPr>
      </w:pPr>
      <w:r w:rsidRPr="00CE2474">
        <w:rPr>
          <w:rFonts w:ascii="Times New Roman" w:hAnsi="Times New Roman" w:cs="Times New Roman"/>
          <w:i w:val="0"/>
          <w:iCs w:val="0"/>
          <w:color w:val="auto"/>
          <w:sz w:val="23"/>
          <w:szCs w:val="23"/>
        </w:rPr>
        <w:t>Quando o recurso apresentado impugnar o julgamento das propostas ou o ato de habilitação ou inabilitação do licitante:</w:t>
      </w:r>
    </w:p>
    <w:p w14:paraId="465182ED" w14:textId="77777777" w:rsidR="00E52901" w:rsidRPr="00CE2474" w:rsidRDefault="00E52901" w:rsidP="00E52901">
      <w:pPr>
        <w:pStyle w:val="Nivel3"/>
        <w:numPr>
          <w:ilvl w:val="2"/>
          <w:numId w:val="2"/>
        </w:numPr>
        <w:ind w:left="2139"/>
        <w:rPr>
          <w:rFonts w:ascii="Times New Roman" w:hAnsi="Times New Roman" w:cs="Times New Roman"/>
          <w:sz w:val="23"/>
          <w:szCs w:val="23"/>
        </w:rPr>
      </w:pPr>
      <w:r w:rsidRPr="00CE2474">
        <w:rPr>
          <w:rFonts w:ascii="Times New Roman" w:hAnsi="Times New Roman" w:cs="Times New Roman"/>
          <w:sz w:val="23"/>
          <w:szCs w:val="23"/>
        </w:rPr>
        <w:t>a intenção de recorrer deverá ser manifestada imediatamente, sob pena de preclusão;</w:t>
      </w:r>
    </w:p>
    <w:p w14:paraId="401890AB" w14:textId="77777777" w:rsidR="00E52901" w:rsidRPr="00CE2474" w:rsidRDefault="00E52901" w:rsidP="00E52901">
      <w:pPr>
        <w:pStyle w:val="Nivel3"/>
        <w:numPr>
          <w:ilvl w:val="2"/>
          <w:numId w:val="2"/>
        </w:numPr>
        <w:ind w:left="2139"/>
        <w:rPr>
          <w:rFonts w:ascii="Times New Roman" w:hAnsi="Times New Roman" w:cs="Times New Roman"/>
          <w:sz w:val="23"/>
          <w:szCs w:val="23"/>
        </w:rPr>
      </w:pPr>
      <w:r w:rsidRPr="00CE2474">
        <w:rPr>
          <w:rFonts w:ascii="Times New Roman" w:hAnsi="Times New Roman" w:cs="Times New Roman"/>
          <w:sz w:val="23"/>
          <w:szCs w:val="23"/>
        </w:rPr>
        <w:t>o prazo para a manifestação da intenção de recorrer não será inferior a 10 (dez) minutos, conforme disposto na IN SEGES/ME n.º 73/2022;</w:t>
      </w:r>
    </w:p>
    <w:p w14:paraId="0972D068" w14:textId="77777777" w:rsidR="00E52901" w:rsidRPr="00CE2474" w:rsidRDefault="00E52901" w:rsidP="00E52901">
      <w:pPr>
        <w:pStyle w:val="Nivel3"/>
        <w:numPr>
          <w:ilvl w:val="2"/>
          <w:numId w:val="2"/>
        </w:numPr>
        <w:ind w:left="2139"/>
        <w:rPr>
          <w:rFonts w:ascii="Times New Roman" w:hAnsi="Times New Roman" w:cs="Times New Roman"/>
          <w:sz w:val="23"/>
          <w:szCs w:val="23"/>
        </w:rPr>
      </w:pPr>
      <w:r w:rsidRPr="00CE2474">
        <w:rPr>
          <w:rFonts w:ascii="Times New Roman" w:hAnsi="Times New Roman" w:cs="Times New Roman"/>
          <w:sz w:val="23"/>
          <w:szCs w:val="23"/>
        </w:rPr>
        <w:t>o prazo para apresentação das razões recursais será iniciado na data de intimação ou de lavratura da ata de habilitação ou inabilitação;</w:t>
      </w:r>
    </w:p>
    <w:p w14:paraId="14B1E8EC" w14:textId="77777777" w:rsidR="00E52901" w:rsidRPr="00CE2474" w:rsidRDefault="00E52901" w:rsidP="00E52901">
      <w:pPr>
        <w:pStyle w:val="Nvel2-Red"/>
        <w:rPr>
          <w:rFonts w:ascii="Times New Roman" w:hAnsi="Times New Roman" w:cs="Times New Roman"/>
          <w:i w:val="0"/>
          <w:iCs w:val="0"/>
          <w:color w:val="auto"/>
          <w:sz w:val="23"/>
          <w:szCs w:val="23"/>
        </w:rPr>
      </w:pPr>
      <w:r w:rsidRPr="00CE2474">
        <w:rPr>
          <w:rFonts w:ascii="Times New Roman" w:hAnsi="Times New Roman" w:cs="Times New Roman"/>
          <w:i w:val="0"/>
          <w:iCs w:val="0"/>
          <w:color w:val="auto"/>
          <w:sz w:val="23"/>
          <w:szCs w:val="23"/>
        </w:rPr>
        <w:t>Os recursos deverão ser encaminhados em campo próprio do sistema.</w:t>
      </w:r>
    </w:p>
    <w:p w14:paraId="08414F9F" w14:textId="77777777" w:rsidR="00E52901" w:rsidRPr="00CE2474" w:rsidRDefault="00E52901" w:rsidP="00E52901">
      <w:pPr>
        <w:pStyle w:val="Nvel2-Red"/>
        <w:rPr>
          <w:rFonts w:ascii="Times New Roman" w:hAnsi="Times New Roman" w:cs="Times New Roman"/>
          <w:i w:val="0"/>
          <w:iCs w:val="0"/>
          <w:color w:val="auto"/>
          <w:sz w:val="23"/>
          <w:szCs w:val="23"/>
        </w:rPr>
      </w:pPr>
      <w:r w:rsidRPr="00CE2474">
        <w:rPr>
          <w:rFonts w:ascii="Times New Roman" w:hAnsi="Times New Roman" w:cs="Times New Roman"/>
          <w:i w:val="0"/>
          <w:iCs w:val="0"/>
          <w:color w:val="auto"/>
          <w:sz w:val="23"/>
          <w:szCs w:val="23"/>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C984ED8" w14:textId="77777777" w:rsidR="00E52901" w:rsidRPr="00CE2474" w:rsidRDefault="00E52901" w:rsidP="00E52901">
      <w:pPr>
        <w:pStyle w:val="Nvel2-Red"/>
        <w:rPr>
          <w:rFonts w:ascii="Times New Roman" w:hAnsi="Times New Roman" w:cs="Times New Roman"/>
          <w:i w:val="0"/>
          <w:iCs w:val="0"/>
          <w:color w:val="auto"/>
          <w:sz w:val="23"/>
          <w:szCs w:val="23"/>
        </w:rPr>
      </w:pPr>
      <w:r w:rsidRPr="00CE2474">
        <w:rPr>
          <w:rFonts w:ascii="Times New Roman" w:hAnsi="Times New Roman" w:cs="Times New Roman"/>
          <w:i w:val="0"/>
          <w:iCs w:val="0"/>
          <w:color w:val="auto"/>
          <w:sz w:val="23"/>
          <w:szCs w:val="23"/>
        </w:rPr>
        <w:t xml:space="preserve">Os recursos interpostos fora do prazo não serão conhecidos. </w:t>
      </w:r>
    </w:p>
    <w:p w14:paraId="0A158445" w14:textId="77777777" w:rsidR="00E52901" w:rsidRPr="00CE2474" w:rsidRDefault="00E52901" w:rsidP="00E52901">
      <w:pPr>
        <w:pStyle w:val="Nvel2-Red"/>
        <w:rPr>
          <w:rFonts w:ascii="Times New Roman" w:hAnsi="Times New Roman" w:cs="Times New Roman"/>
          <w:i w:val="0"/>
          <w:iCs w:val="0"/>
          <w:color w:val="auto"/>
          <w:sz w:val="23"/>
          <w:szCs w:val="23"/>
        </w:rPr>
      </w:pPr>
      <w:r w:rsidRPr="00CE2474">
        <w:rPr>
          <w:rFonts w:ascii="Times New Roman" w:hAnsi="Times New Roman" w:cs="Times New Roman"/>
          <w:i w:val="0"/>
          <w:iCs w:val="0"/>
          <w:color w:val="auto"/>
          <w:sz w:val="23"/>
          <w:szCs w:val="23"/>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6800FB3" w14:textId="77777777" w:rsidR="00E52901" w:rsidRPr="00CE2474" w:rsidRDefault="00E52901" w:rsidP="00E52901">
      <w:pPr>
        <w:pStyle w:val="Nvel2-Red"/>
        <w:rPr>
          <w:rFonts w:ascii="Times New Roman" w:hAnsi="Times New Roman" w:cs="Times New Roman"/>
          <w:i w:val="0"/>
          <w:iCs w:val="0"/>
          <w:color w:val="auto"/>
          <w:sz w:val="23"/>
          <w:szCs w:val="23"/>
        </w:rPr>
      </w:pPr>
      <w:r w:rsidRPr="00CE2474">
        <w:rPr>
          <w:rFonts w:ascii="Times New Roman" w:hAnsi="Times New Roman" w:cs="Times New Roman"/>
          <w:i w:val="0"/>
          <w:iCs w:val="0"/>
          <w:color w:val="auto"/>
          <w:sz w:val="23"/>
          <w:szCs w:val="23"/>
        </w:rPr>
        <w:t xml:space="preserve">O recurso e o pedido de reconsideração terão efeito suspensivo do ato ou da decisão recorrida até que sobrevenha decisão final da autoridade competente. </w:t>
      </w:r>
    </w:p>
    <w:p w14:paraId="29E72E8E" w14:textId="77777777" w:rsidR="00E52901" w:rsidRPr="00CE2474" w:rsidRDefault="00E52901" w:rsidP="00E52901">
      <w:pPr>
        <w:pStyle w:val="Nvel2-Red"/>
        <w:rPr>
          <w:rFonts w:ascii="Times New Roman" w:hAnsi="Times New Roman" w:cs="Times New Roman"/>
          <w:i w:val="0"/>
          <w:iCs w:val="0"/>
          <w:color w:val="auto"/>
          <w:sz w:val="23"/>
          <w:szCs w:val="23"/>
        </w:rPr>
      </w:pPr>
      <w:r w:rsidRPr="00CE2474">
        <w:rPr>
          <w:rFonts w:ascii="Times New Roman" w:hAnsi="Times New Roman" w:cs="Times New Roman"/>
          <w:i w:val="0"/>
          <w:iCs w:val="0"/>
          <w:color w:val="auto"/>
          <w:sz w:val="23"/>
          <w:szCs w:val="23"/>
        </w:rPr>
        <w:t xml:space="preserve">O acolhimento do recurso invalida tão somente os atos insuscetíveis de aproveitamento. </w:t>
      </w:r>
    </w:p>
    <w:p w14:paraId="24F1C00D" w14:textId="77777777" w:rsidR="00E52901" w:rsidRPr="00CE2474" w:rsidRDefault="00E52901" w:rsidP="00E52901">
      <w:pPr>
        <w:pStyle w:val="Nvel2-Red"/>
        <w:rPr>
          <w:rFonts w:ascii="Times New Roman" w:hAnsi="Times New Roman" w:cs="Times New Roman"/>
          <w:i w:val="0"/>
          <w:iCs w:val="0"/>
          <w:color w:val="auto"/>
          <w:sz w:val="23"/>
          <w:szCs w:val="23"/>
        </w:rPr>
      </w:pPr>
      <w:r w:rsidRPr="00CE2474">
        <w:rPr>
          <w:rFonts w:ascii="Times New Roman" w:hAnsi="Times New Roman" w:cs="Times New Roman"/>
          <w:i w:val="0"/>
          <w:iCs w:val="0"/>
          <w:color w:val="auto"/>
          <w:sz w:val="23"/>
          <w:szCs w:val="23"/>
        </w:rPr>
        <w:t>Os autos do processo permanecerão com vista franqueada aos interessados no sítio eletrônico https://eciga.niteroi.rj.gov.br/#/documentos/entrada</w:t>
      </w:r>
    </w:p>
    <w:p w14:paraId="73F31232" w14:textId="77777777" w:rsidR="00D81286" w:rsidRPr="00CE2474" w:rsidRDefault="00D81286" w:rsidP="00D81286">
      <w:pPr>
        <w:pStyle w:val="Nivel01"/>
        <w:rPr>
          <w:sz w:val="23"/>
          <w:szCs w:val="23"/>
        </w:rPr>
      </w:pPr>
      <w:r w:rsidRPr="00CE2474">
        <w:rPr>
          <w:sz w:val="23"/>
          <w:szCs w:val="23"/>
        </w:rPr>
        <w:t>DAS INFRAÇÕES ADMINISTRATIVAS E SANÇÕES</w:t>
      </w:r>
      <w:bookmarkEnd w:id="51"/>
      <w:bookmarkEnd w:id="52"/>
    </w:p>
    <w:p w14:paraId="4F0DF51C"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Comete infração administrativa, nos termos da lei, o licitante que, com dolo ou culpa: </w:t>
      </w:r>
    </w:p>
    <w:p w14:paraId="65811134"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bookmarkStart w:id="53" w:name="_Ref114668085"/>
      <w:bookmarkStart w:id="54" w:name="_Hlk114652595"/>
      <w:r w:rsidRPr="00CE2474">
        <w:rPr>
          <w:rFonts w:ascii="Times New Roman" w:hAnsi="Times New Roman" w:cs="Times New Roman"/>
          <w:iCs/>
          <w:sz w:val="23"/>
          <w:szCs w:val="23"/>
        </w:rPr>
        <w:t>Deixar de entregar a documentação exigida para o certame ou não entregar qualquer documento que tenha sido solicitado pelo Pregoeiro/Agente de Contratação/Comissão durante o certame</w:t>
      </w:r>
      <w:bookmarkEnd w:id="53"/>
    </w:p>
    <w:p w14:paraId="237DF686"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bookmarkStart w:id="55" w:name="_Ref114668108"/>
      <w:r w:rsidRPr="00CE2474">
        <w:rPr>
          <w:rFonts w:ascii="Times New Roman" w:hAnsi="Times New Roman" w:cs="Times New Roman"/>
          <w:iCs/>
          <w:sz w:val="23"/>
          <w:szCs w:val="23"/>
        </w:rPr>
        <w:t>Salvo em decorrência de fato superveniente devidamente justificado, não mantiver a proposta em especial quando:</w:t>
      </w:r>
      <w:bookmarkEnd w:id="55"/>
    </w:p>
    <w:p w14:paraId="3267251C" w14:textId="77777777" w:rsidR="00D81286" w:rsidRPr="00CE2474" w:rsidRDefault="00D81286" w:rsidP="00D81286">
      <w:pPr>
        <w:pStyle w:val="Nivel2"/>
        <w:numPr>
          <w:ilvl w:val="3"/>
          <w:numId w:val="2"/>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lastRenderedPageBreak/>
        <w:t xml:space="preserve">Não enviar a proposta adequada ao último lance ofertado ou após a negociação; </w:t>
      </w:r>
    </w:p>
    <w:p w14:paraId="3A076004" w14:textId="77777777" w:rsidR="00D81286" w:rsidRPr="00CE2474" w:rsidRDefault="00D81286" w:rsidP="00D81286">
      <w:pPr>
        <w:pStyle w:val="Nivel2"/>
        <w:numPr>
          <w:ilvl w:val="3"/>
          <w:numId w:val="2"/>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Recusar-se a enviar o detalhamento da proposta quando exigível; </w:t>
      </w:r>
    </w:p>
    <w:p w14:paraId="47FB3FD0" w14:textId="77777777" w:rsidR="00D81286" w:rsidRPr="00CE2474" w:rsidRDefault="00D81286" w:rsidP="00D81286">
      <w:pPr>
        <w:pStyle w:val="Nivel2"/>
        <w:numPr>
          <w:ilvl w:val="3"/>
          <w:numId w:val="2"/>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Pedir para ser desclassificado quando encerrada a etapa competitiva; ou </w:t>
      </w:r>
    </w:p>
    <w:p w14:paraId="0CCBD78C" w14:textId="77777777" w:rsidR="00D81286" w:rsidRPr="00CE2474" w:rsidRDefault="00D81286" w:rsidP="00D81286">
      <w:pPr>
        <w:pStyle w:val="Nivel2"/>
        <w:numPr>
          <w:ilvl w:val="3"/>
          <w:numId w:val="2"/>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Deixar de apresentar amostra;</w:t>
      </w:r>
    </w:p>
    <w:p w14:paraId="0318C631" w14:textId="77777777" w:rsidR="00D81286" w:rsidRPr="00CE2474" w:rsidRDefault="00D81286" w:rsidP="00D81286">
      <w:pPr>
        <w:pStyle w:val="Nivel2"/>
        <w:numPr>
          <w:ilvl w:val="3"/>
          <w:numId w:val="2"/>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Apresentar proposta ou amostra em desacordo com as especificações do edital.</w:t>
      </w:r>
    </w:p>
    <w:p w14:paraId="6877FF58"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bookmarkStart w:id="56" w:name="_Ref114668139"/>
      <w:r w:rsidRPr="00CE2474">
        <w:rPr>
          <w:rFonts w:ascii="Times New Roman" w:hAnsi="Times New Roman" w:cs="Times New Roman"/>
          <w:iCs/>
          <w:sz w:val="23"/>
          <w:szCs w:val="23"/>
        </w:rPr>
        <w:t>Não celebrar o contrato ou não entregar a documentação exigida para a contratação, quando convocado dentro do prazo de validade de sua proposta;</w:t>
      </w:r>
      <w:bookmarkEnd w:id="56"/>
    </w:p>
    <w:p w14:paraId="5E8BBFFD"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Recusar-se, sem justificativa, a assinar o contrato ou a ata de registro de preço, ou a aceitar ou retirar o instrumento equivalente no prazo estabelecido pela Administração;</w:t>
      </w:r>
      <w:bookmarkStart w:id="57" w:name="_Ref114668249"/>
    </w:p>
    <w:p w14:paraId="325148C5"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Apresentar declaração ou documentação falsa exigida para o certame ou prestar declaração falsa durante a licitação</w:t>
      </w:r>
      <w:bookmarkEnd w:id="57"/>
      <w:r w:rsidRPr="00CE2474">
        <w:rPr>
          <w:rFonts w:ascii="Times New Roman" w:hAnsi="Times New Roman" w:cs="Times New Roman"/>
          <w:iCs/>
          <w:sz w:val="23"/>
          <w:szCs w:val="23"/>
        </w:rPr>
        <w:t>;</w:t>
      </w:r>
      <w:bookmarkStart w:id="58" w:name="_Ref114668245"/>
    </w:p>
    <w:p w14:paraId="73616AB5"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Fraudar a licitação</w:t>
      </w:r>
      <w:bookmarkEnd w:id="58"/>
      <w:r w:rsidRPr="00CE2474">
        <w:rPr>
          <w:rFonts w:ascii="Times New Roman" w:hAnsi="Times New Roman" w:cs="Times New Roman"/>
          <w:iCs/>
          <w:sz w:val="23"/>
          <w:szCs w:val="23"/>
        </w:rPr>
        <w:t>;</w:t>
      </w:r>
      <w:bookmarkStart w:id="59" w:name="_Ref114668247"/>
    </w:p>
    <w:p w14:paraId="7B4783FB"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Comportar-se de modo inidôneo ou cometer fraude de qualquer natureza, em especial quando:</w:t>
      </w:r>
      <w:bookmarkEnd w:id="59"/>
    </w:p>
    <w:p w14:paraId="019F397C" w14:textId="77777777" w:rsidR="00D81286" w:rsidRPr="00CE2474" w:rsidRDefault="00D81286" w:rsidP="00D81286">
      <w:pPr>
        <w:pStyle w:val="Nivel2"/>
        <w:numPr>
          <w:ilvl w:val="3"/>
          <w:numId w:val="2"/>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Agir em conluio ou em desconformidade com a lei; </w:t>
      </w:r>
    </w:p>
    <w:p w14:paraId="546D02EB" w14:textId="77777777" w:rsidR="00D81286" w:rsidRPr="00CE2474" w:rsidRDefault="00D81286" w:rsidP="00D81286">
      <w:pPr>
        <w:pStyle w:val="Nivel2"/>
        <w:numPr>
          <w:ilvl w:val="3"/>
          <w:numId w:val="2"/>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Induzir deliberadamente a erro no julgamento; </w:t>
      </w:r>
    </w:p>
    <w:p w14:paraId="7515C60A" w14:textId="77777777" w:rsidR="00D81286" w:rsidRPr="00CE2474" w:rsidRDefault="00D81286" w:rsidP="00D81286">
      <w:pPr>
        <w:pStyle w:val="Nivel2"/>
        <w:numPr>
          <w:ilvl w:val="3"/>
          <w:numId w:val="2"/>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Apresentar amostra falsificada ou deteriorada. </w:t>
      </w:r>
    </w:p>
    <w:p w14:paraId="5F5B5CAD"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bookmarkStart w:id="60" w:name="_Ref114668251"/>
      <w:r w:rsidRPr="00CE2474">
        <w:rPr>
          <w:rFonts w:ascii="Times New Roman" w:hAnsi="Times New Roman" w:cs="Times New Roman"/>
          <w:iCs/>
          <w:sz w:val="23"/>
          <w:szCs w:val="23"/>
        </w:rPr>
        <w:t>Praticar atos ilícitos com vistas a frustrar os objetivos da licitação</w:t>
      </w:r>
      <w:bookmarkEnd w:id="60"/>
    </w:p>
    <w:p w14:paraId="4EFF3A2E"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bookmarkStart w:id="61" w:name="_Ref114668252"/>
      <w:r w:rsidRPr="00CE2474">
        <w:rPr>
          <w:rFonts w:ascii="Times New Roman" w:hAnsi="Times New Roman" w:cs="Times New Roman"/>
          <w:iCs/>
          <w:sz w:val="23"/>
          <w:szCs w:val="23"/>
        </w:rPr>
        <w:t xml:space="preserve">Praticar ato lesivo previsto no </w:t>
      </w:r>
      <w:hyperlink r:id="rId30" w:anchor="art5" w:history="1">
        <w:r w:rsidRPr="00CE2474">
          <w:rPr>
            <w:rFonts w:ascii="Times New Roman" w:hAnsi="Times New Roman" w:cs="Times New Roman"/>
            <w:iCs/>
            <w:sz w:val="23"/>
            <w:szCs w:val="23"/>
          </w:rPr>
          <w:t>art. 5º da Lei n.º 12.846, de 2013</w:t>
        </w:r>
      </w:hyperlink>
      <w:r w:rsidRPr="00CE2474">
        <w:rPr>
          <w:rFonts w:ascii="Times New Roman" w:hAnsi="Times New Roman" w:cs="Times New Roman"/>
          <w:iCs/>
          <w:sz w:val="23"/>
          <w:szCs w:val="23"/>
        </w:rPr>
        <w:t>.</w:t>
      </w:r>
      <w:bookmarkEnd w:id="61"/>
    </w:p>
    <w:bookmarkEnd w:id="54"/>
    <w:p w14:paraId="3067CEAE"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Com fulcro na </w:t>
      </w:r>
      <w:hyperlink r:id="rId31" w:history="1">
        <w:r w:rsidRPr="00CE2474">
          <w:rPr>
            <w:rFonts w:ascii="Times New Roman" w:hAnsi="Times New Roman" w:cs="Times New Roman"/>
            <w:iCs/>
            <w:sz w:val="23"/>
            <w:szCs w:val="23"/>
          </w:rPr>
          <w:t>Lei n.º 14.133, de 2021</w:t>
        </w:r>
      </w:hyperlink>
      <w:r w:rsidRPr="00CE2474">
        <w:rPr>
          <w:rFonts w:ascii="Times New Roman" w:hAnsi="Times New Roman" w:cs="Times New Roman"/>
          <w:iCs/>
          <w:sz w:val="23"/>
          <w:szCs w:val="23"/>
        </w:rPr>
        <w:t xml:space="preserve">, a Administração poderá, garantida a prévia defesa, aplicar aos licitantes e/ou adjudicatários as seguintes sanções, sem prejuízo das responsabilidades civil e criminal: </w:t>
      </w:r>
    </w:p>
    <w:p w14:paraId="1970A621"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Advertência; </w:t>
      </w:r>
    </w:p>
    <w:p w14:paraId="11A20D51"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Multa;</w:t>
      </w:r>
    </w:p>
    <w:p w14:paraId="10E5A14A"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Impedimento de licitar e contratar e</w:t>
      </w:r>
    </w:p>
    <w:p w14:paraId="54694496"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Declaração de inidoneidade para licitar ou contratar, enquanto perdurarem os motivos determinantes da punição ou até que seja promovida sua reabilitação perante a própria autoridade que aplicou a penalidade.</w:t>
      </w:r>
    </w:p>
    <w:p w14:paraId="65790AE0"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lastRenderedPageBreak/>
        <w:t>Na aplicação das sanções serão considerados:</w:t>
      </w:r>
    </w:p>
    <w:p w14:paraId="6FA33227"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natureza e a gravidade da infração cometida.</w:t>
      </w:r>
    </w:p>
    <w:p w14:paraId="62C7E8E5"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As peculiaridades do caso concreto</w:t>
      </w:r>
    </w:p>
    <w:p w14:paraId="2A3E743B"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As circunstâncias agravantes ou atenuantes</w:t>
      </w:r>
    </w:p>
    <w:p w14:paraId="38FDC982"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Os danos que dela provierem para a Administração Pública.</w:t>
      </w:r>
    </w:p>
    <w:p w14:paraId="7B286467"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sz w:val="23"/>
          <w:szCs w:val="23"/>
        </w:rPr>
        <w:t>A implantação ou o aperfeiçoamento de programa de integridade, conforme normas e orientações dos órgãos de controle.</w:t>
      </w:r>
    </w:p>
    <w:p w14:paraId="57A0BE00"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 multa será recolhida em percentual de 15% (quinze por cento) incidente sobre o valor do contrato licitado, recolhida no prazo máximo de 10 (dez) dias úteis, a contar da comunicação oficial. </w:t>
      </w:r>
    </w:p>
    <w:p w14:paraId="4CA5E622" w14:textId="00311E6D" w:rsidR="00D81286" w:rsidRPr="00CE2474" w:rsidRDefault="00D81286" w:rsidP="00D81286">
      <w:pPr>
        <w:pStyle w:val="Nivel2"/>
        <w:numPr>
          <w:ilvl w:val="2"/>
          <w:numId w:val="2"/>
        </w:numPr>
        <w:spacing w:before="240" w:after="0"/>
        <w:ind w:left="0" w:firstLine="0"/>
        <w:rPr>
          <w:rFonts w:ascii="Times New Roman" w:hAnsi="Times New Roman" w:cs="Times New Roman"/>
          <w:sz w:val="23"/>
          <w:szCs w:val="23"/>
        </w:rPr>
      </w:pPr>
      <w:bookmarkStart w:id="62" w:name="_Hlk113876035"/>
      <w:r w:rsidRPr="00CE2474">
        <w:rPr>
          <w:rFonts w:ascii="Times New Roman" w:hAnsi="Times New Roman" w:cs="Times New Roman"/>
          <w:sz w:val="23"/>
          <w:szCs w:val="23"/>
        </w:rPr>
        <w:t xml:space="preserve">Para as infrações previstas nos itens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_Ref114668085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12.1.1</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_Ref114668108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12.1.2</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_Ref114668139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12.1.3</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a multa será de 15%</w:t>
      </w:r>
      <w:proofErr w:type="gramStart"/>
      <w:r w:rsidRPr="00CE2474">
        <w:rPr>
          <w:rFonts w:ascii="Times New Roman" w:hAnsi="Times New Roman" w:cs="Times New Roman"/>
          <w:sz w:val="23"/>
          <w:szCs w:val="23"/>
        </w:rPr>
        <w:t>(</w:t>
      </w:r>
      <w:proofErr w:type="gramEnd"/>
      <w:r w:rsidRPr="00CE2474">
        <w:rPr>
          <w:rFonts w:ascii="Times New Roman" w:hAnsi="Times New Roman" w:cs="Times New Roman"/>
          <w:sz w:val="23"/>
          <w:szCs w:val="23"/>
        </w:rPr>
        <w:t>quinze por cento) do valor do contrato licitado.</w:t>
      </w:r>
    </w:p>
    <w:bookmarkEnd w:id="62"/>
    <w:p w14:paraId="137A81EB" w14:textId="0DFA3F57" w:rsidR="00D81286" w:rsidRPr="00CE2474" w:rsidRDefault="00D81286" w:rsidP="00D81286">
      <w:pPr>
        <w:pStyle w:val="Nivel2"/>
        <w:numPr>
          <w:ilvl w:val="2"/>
          <w:numId w:val="2"/>
        </w:numPr>
        <w:spacing w:before="240" w:after="0"/>
        <w:ind w:left="0" w:firstLine="0"/>
        <w:rPr>
          <w:rFonts w:ascii="Times New Roman" w:hAnsi="Times New Roman" w:cs="Times New Roman"/>
          <w:sz w:val="23"/>
          <w:szCs w:val="23"/>
        </w:rPr>
      </w:pPr>
      <w:r w:rsidRPr="00CE2474">
        <w:rPr>
          <w:rFonts w:ascii="Times New Roman" w:hAnsi="Times New Roman" w:cs="Times New Roman"/>
          <w:sz w:val="23"/>
          <w:szCs w:val="23"/>
        </w:rPr>
        <w:t xml:space="preserve">Para as infrações previstas nos itens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_Ref114668249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12.1.4</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_Ref114668245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12.1.5</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_Ref114668247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12.1.6</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_Ref114668251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12.1.8</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xml:space="preserve"> 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_Ref114668252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Pr>
          <w:rFonts w:ascii="Times New Roman" w:hAnsi="Times New Roman" w:cs="Times New Roman"/>
          <w:sz w:val="23"/>
          <w:szCs w:val="23"/>
        </w:rPr>
        <w:t>12.1.9</w:t>
      </w:r>
      <w:r w:rsidR="00E52901" w:rsidRPr="00CE2474">
        <w:rPr>
          <w:rFonts w:ascii="Times New Roman" w:hAnsi="Times New Roman" w:cs="Times New Roman"/>
          <w:sz w:val="23"/>
          <w:szCs w:val="23"/>
        </w:rPr>
        <w:fldChar w:fldCharType="end"/>
      </w:r>
      <w:r w:rsidRPr="00CE2474">
        <w:rPr>
          <w:rFonts w:ascii="Times New Roman" w:hAnsi="Times New Roman" w:cs="Times New Roman"/>
          <w:sz w:val="23"/>
          <w:szCs w:val="23"/>
        </w:rPr>
        <w:t>, a multa será de 15%</w:t>
      </w:r>
      <w:proofErr w:type="gramStart"/>
      <w:r w:rsidRPr="00CE2474">
        <w:rPr>
          <w:rFonts w:ascii="Times New Roman" w:hAnsi="Times New Roman" w:cs="Times New Roman"/>
          <w:sz w:val="23"/>
          <w:szCs w:val="23"/>
        </w:rPr>
        <w:t>(</w:t>
      </w:r>
      <w:proofErr w:type="gramEnd"/>
      <w:r w:rsidRPr="00CE2474">
        <w:rPr>
          <w:rFonts w:ascii="Times New Roman" w:hAnsi="Times New Roman" w:cs="Times New Roman"/>
          <w:sz w:val="23"/>
          <w:szCs w:val="23"/>
        </w:rPr>
        <w:t>quinze por cento) do valor do contrato licitado.</w:t>
      </w:r>
    </w:p>
    <w:p w14:paraId="5DD6C67F"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As sanções de advertência, impedimento de licitar e contratar e declaração de inidoneidade para licitar ou contratar poderão ser aplicadas, cumulativamente ou não, à penalidade de multa.</w:t>
      </w:r>
    </w:p>
    <w:p w14:paraId="1389E3D6"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Na aplicação da sanção de multa será facultada a defesa do interessado no prazo de 15 (quinze) dias úteis, contado da data de sua intimação.</w:t>
      </w:r>
    </w:p>
    <w:p w14:paraId="2BF63939" w14:textId="2006AD86"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 sanção de impedimento de licitar e contratar serão </w:t>
      </w:r>
      <w:proofErr w:type="gramStart"/>
      <w:r w:rsidRPr="00CE2474">
        <w:rPr>
          <w:rFonts w:ascii="Times New Roman" w:hAnsi="Times New Roman" w:cs="Times New Roman"/>
          <w:iCs/>
          <w:sz w:val="23"/>
          <w:szCs w:val="23"/>
        </w:rPr>
        <w:t>aplicadas</w:t>
      </w:r>
      <w:proofErr w:type="gramEnd"/>
      <w:r w:rsidRPr="00CE2474">
        <w:rPr>
          <w:rFonts w:ascii="Times New Roman" w:hAnsi="Times New Roman" w:cs="Times New Roman"/>
          <w:iCs/>
          <w:sz w:val="23"/>
          <w:szCs w:val="23"/>
        </w:rPr>
        <w:t xml:space="preserve"> ao responsável em decorrência das infrações administrativas relacionadas nos itens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_Ref114668085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12.1.1</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_Ref114668108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12.1.2</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_Ref114668139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12.1.3</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FFE0731" w14:textId="70D4D240"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Poderá ser aplicada ao responsável a sanção de declaração de inidoneidade para licitar ou contratar, em decorrência da prática das infrações dispostas nos itens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_Ref114668249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12.1.4</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_Ref114668245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12.1.5</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_Ref114668247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12.1.6</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_Ref114668251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12.1.8</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_Ref114668252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12.1.9</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bem como pelas infrações administrativas previstas nos itens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_Ref114668085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12.1.1</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_Ref114668108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12.1.2</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e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_Ref114668139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12.1.3</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que justifiquem a imposição de penalidade mais grave que a sanção de impedimento de licitar e contratar, cuja duração observará o prazo previsto no </w:t>
      </w:r>
      <w:hyperlink r:id="rId32" w:anchor="art156§5" w:history="1">
        <w:r w:rsidRPr="00CE2474">
          <w:rPr>
            <w:rFonts w:ascii="Times New Roman" w:hAnsi="Times New Roman" w:cs="Times New Roman"/>
            <w:iCs/>
            <w:sz w:val="23"/>
            <w:szCs w:val="23"/>
          </w:rPr>
          <w:t>art. 156, §5º, da Lei n.º 14.133/2021</w:t>
        </w:r>
      </w:hyperlink>
      <w:r w:rsidRPr="00CE2474">
        <w:rPr>
          <w:rFonts w:ascii="Times New Roman" w:hAnsi="Times New Roman" w:cs="Times New Roman"/>
          <w:iCs/>
          <w:sz w:val="23"/>
          <w:szCs w:val="23"/>
        </w:rPr>
        <w:t>.</w:t>
      </w:r>
    </w:p>
    <w:p w14:paraId="6F66A137" w14:textId="314D2BF9"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 recusa injustificada do adjudicatário em assinar o contrato ou a ata de registro de preço, ou em aceitar ou retirar o instrumento equivalente no prazo estabelecido pela Administração, descrita no item </w:t>
      </w:r>
      <w:r w:rsidR="00E52901" w:rsidRPr="00CE2474">
        <w:rPr>
          <w:rFonts w:ascii="Times New Roman" w:hAnsi="Times New Roman" w:cs="Times New Roman"/>
          <w:sz w:val="23"/>
          <w:szCs w:val="23"/>
        </w:rPr>
        <w:fldChar w:fldCharType="begin"/>
      </w:r>
      <w:r w:rsidR="00E52901" w:rsidRPr="00CE2474">
        <w:rPr>
          <w:rFonts w:ascii="Times New Roman" w:hAnsi="Times New Roman" w:cs="Times New Roman"/>
          <w:sz w:val="23"/>
          <w:szCs w:val="23"/>
        </w:rPr>
        <w:instrText xml:space="preserve"> REF _Ref114668139 \r \h  \* MERGEFORMAT </w:instrText>
      </w:r>
      <w:r w:rsidR="00E52901" w:rsidRPr="00CE2474">
        <w:rPr>
          <w:rFonts w:ascii="Times New Roman" w:hAnsi="Times New Roman" w:cs="Times New Roman"/>
          <w:sz w:val="23"/>
          <w:szCs w:val="23"/>
        </w:rPr>
      </w:r>
      <w:r w:rsidR="00E52901" w:rsidRPr="00CE2474">
        <w:rPr>
          <w:rFonts w:ascii="Times New Roman" w:hAnsi="Times New Roman" w:cs="Times New Roman"/>
          <w:sz w:val="23"/>
          <w:szCs w:val="23"/>
        </w:rPr>
        <w:fldChar w:fldCharType="separate"/>
      </w:r>
      <w:r w:rsidR="00F7383D" w:rsidRPr="00F7383D">
        <w:rPr>
          <w:rFonts w:ascii="Times New Roman" w:hAnsi="Times New Roman" w:cs="Times New Roman"/>
          <w:iCs/>
          <w:sz w:val="23"/>
          <w:szCs w:val="23"/>
        </w:rPr>
        <w:t>12.1.3</w:t>
      </w:r>
      <w:r w:rsidR="00E52901" w:rsidRPr="00CE2474">
        <w:rPr>
          <w:rFonts w:ascii="Times New Roman" w:hAnsi="Times New Roman" w:cs="Times New Roman"/>
          <w:sz w:val="23"/>
          <w:szCs w:val="23"/>
        </w:rPr>
        <w:fldChar w:fldCharType="end"/>
      </w:r>
      <w:r w:rsidRPr="00CE2474">
        <w:rPr>
          <w:rFonts w:ascii="Times New Roman" w:hAnsi="Times New Roman" w:cs="Times New Roman"/>
          <w:iCs/>
          <w:sz w:val="23"/>
          <w:szCs w:val="23"/>
        </w:rPr>
        <w:t xml:space="preserve">, caracterizará o descumprimento total da obrigação assumida e o sujeitará </w:t>
      </w:r>
      <w:r w:rsidRPr="00CE2474">
        <w:rPr>
          <w:rFonts w:ascii="Times New Roman" w:hAnsi="Times New Roman" w:cs="Times New Roman"/>
          <w:iCs/>
          <w:sz w:val="23"/>
          <w:szCs w:val="23"/>
        </w:rPr>
        <w:lastRenderedPageBreak/>
        <w:t xml:space="preserve">às penalidades e à imediata perda da garantia de proposta em favor do órgão ou entidade promotora da licitação, nos termos do </w:t>
      </w:r>
      <w:hyperlink r:id="rId33" w:history="1">
        <w:r w:rsidRPr="00CE2474">
          <w:rPr>
            <w:rFonts w:ascii="Times New Roman" w:hAnsi="Times New Roman" w:cs="Times New Roman"/>
            <w:iCs/>
            <w:sz w:val="23"/>
            <w:szCs w:val="23"/>
          </w:rPr>
          <w:t>art. 45, §4º da IN SEGES/ME n.º 73, de 2022</w:t>
        </w:r>
      </w:hyperlink>
      <w:r w:rsidRPr="00CE2474">
        <w:rPr>
          <w:rFonts w:ascii="Times New Roman" w:hAnsi="Times New Roman" w:cs="Times New Roman"/>
          <w:iCs/>
          <w:sz w:val="23"/>
          <w:szCs w:val="23"/>
        </w:rPr>
        <w:t xml:space="preserve">. </w:t>
      </w:r>
    </w:p>
    <w:p w14:paraId="4F43A095"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 apuração de responsabilidade relacionada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07459A7"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AA06097"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5A663B0"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O recurso e o pedido de reconsideração terão efeito suspensivo do ato ou da decisão recorrida até que sobrevenha decisão final da autoridade competente.</w:t>
      </w:r>
    </w:p>
    <w:p w14:paraId="4B4B20D1"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aplicação das sanções previstas neste edital não exclui, em hipótese alguma, a obrigação de reparação integral dos danos causados.</w:t>
      </w:r>
    </w:p>
    <w:p w14:paraId="1C36CF84"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color w:val="auto"/>
          <w:sz w:val="23"/>
          <w:szCs w:val="23"/>
        </w:rPr>
      </w:pPr>
      <w:r w:rsidRPr="00CE2474">
        <w:rPr>
          <w:rFonts w:ascii="Times New Roman" w:hAnsi="Times New Roman" w:cs="Times New Roman"/>
          <w:iCs/>
          <w:color w:val="auto"/>
          <w:sz w:val="23"/>
          <w:szCs w:val="23"/>
        </w:rPr>
        <w:t xml:space="preserve">Fica assegurada à Contratante a possibilidade de rescindir unilateralmente o presente contrato, sem prejuízo da aplicação das penalidades previstas, incluindo a imposição de multa, nos casos em que a Contratada praticar atos lesivos à Administração Pública, conforme definidos </w:t>
      </w:r>
      <w:proofErr w:type="spellStart"/>
      <w:r w:rsidRPr="00CE2474">
        <w:rPr>
          <w:rFonts w:ascii="Times New Roman" w:hAnsi="Times New Roman" w:cs="Times New Roman"/>
          <w:iCs/>
          <w:color w:val="auto"/>
          <w:sz w:val="23"/>
          <w:szCs w:val="23"/>
        </w:rPr>
        <w:t>nte</w:t>
      </w:r>
      <w:proofErr w:type="spellEnd"/>
      <w:r w:rsidRPr="00CE2474">
        <w:rPr>
          <w:rFonts w:ascii="Times New Roman" w:hAnsi="Times New Roman" w:cs="Times New Roman"/>
          <w:iCs/>
          <w:color w:val="auto"/>
          <w:sz w:val="23"/>
          <w:szCs w:val="23"/>
        </w:rPr>
        <w:t xml:space="preserve"> na Lei Federal nº 14.133/2021 e na Lei nº 12.846/2013.</w:t>
      </w:r>
    </w:p>
    <w:p w14:paraId="7DC3A968"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color w:val="auto"/>
          <w:sz w:val="23"/>
          <w:szCs w:val="23"/>
        </w:rPr>
      </w:pPr>
      <w:r w:rsidRPr="00CE2474">
        <w:rPr>
          <w:rFonts w:ascii="Times New Roman" w:hAnsi="Times New Roman" w:cs="Times New Roman"/>
          <w:iCs/>
          <w:color w:val="auto"/>
          <w:sz w:val="23"/>
          <w:szCs w:val="23"/>
        </w:rPr>
        <w:t>A rescisão será formalmente comunicada à Contratada, assegurando-se o contraditório e a ampla defesa, conforme disposto na legislação aplicável. Além disso, a rescisão poderá ensejar a inscrição da Contratada nos cadastros de sanções administrativas e o impedimento de contratar com a Administração Pública nos termos da lei.</w:t>
      </w:r>
    </w:p>
    <w:p w14:paraId="5646EC4C" w14:textId="77777777" w:rsidR="00D81286" w:rsidRPr="00CE2474" w:rsidRDefault="00D81286" w:rsidP="00D81286">
      <w:pPr>
        <w:pStyle w:val="Nivel01"/>
        <w:rPr>
          <w:sz w:val="23"/>
          <w:szCs w:val="23"/>
        </w:rPr>
      </w:pPr>
      <w:bookmarkStart w:id="63" w:name="_Toc135469261"/>
      <w:bookmarkStart w:id="64" w:name="_Toc179572873"/>
      <w:r w:rsidRPr="00CE2474">
        <w:rPr>
          <w:sz w:val="23"/>
          <w:szCs w:val="23"/>
        </w:rPr>
        <w:t>DA IMPUGNAÇÃO AO EDITAL E DO PEDIDO DE ESCLARECIMENTO</w:t>
      </w:r>
      <w:bookmarkEnd w:id="63"/>
      <w:bookmarkEnd w:id="64"/>
    </w:p>
    <w:p w14:paraId="79E400A3"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Qualquer pessoa é parte legítima para impugnar este Edital por irregularidade na aplicação da </w:t>
      </w:r>
      <w:hyperlink r:id="rId34" w:history="1">
        <w:r w:rsidRPr="00CE2474">
          <w:rPr>
            <w:rFonts w:ascii="Times New Roman" w:hAnsi="Times New Roman" w:cs="Times New Roman"/>
            <w:iCs/>
            <w:sz w:val="23"/>
            <w:szCs w:val="23"/>
          </w:rPr>
          <w:t>Lei nº 14.133, de 2021</w:t>
        </w:r>
      </w:hyperlink>
      <w:r w:rsidRPr="00CE2474">
        <w:rPr>
          <w:rFonts w:ascii="Times New Roman" w:hAnsi="Times New Roman" w:cs="Times New Roman"/>
          <w:iCs/>
          <w:sz w:val="23"/>
          <w:szCs w:val="23"/>
        </w:rPr>
        <w:t>, devendo protocolar o pedido até 3 (três)dias úteis antes da data da abertura do certame.</w:t>
      </w:r>
    </w:p>
    <w:p w14:paraId="3AF97609"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resposta à impugnação ou ao pedido de esclarecimento será divulgado em sítio eletrônico oficial no prazo de até 3 (três) dias úteis, limitado ao último dia útil anterior à data da abertura do certame.</w:t>
      </w:r>
    </w:p>
    <w:p w14:paraId="0F3204D3"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lastRenderedPageBreak/>
        <w:t xml:space="preserve">A impugnação e o pedido de esclarecimento poderão ser realizados por forma eletrônica, por meio do e-mail </w:t>
      </w:r>
      <w:hyperlink r:id="rId35" w:history="1">
        <w:r w:rsidRPr="00CE2474">
          <w:rPr>
            <w:rFonts w:ascii="Times New Roman" w:hAnsi="Times New Roman" w:cs="Times New Roman"/>
            <w:b/>
            <w:bCs/>
            <w:iCs/>
            <w:sz w:val="23"/>
            <w:szCs w:val="23"/>
          </w:rPr>
          <w:t>licitacoes@fesaude.niteroi.rj.gov.br</w:t>
        </w:r>
      </w:hyperlink>
      <w:r w:rsidRPr="00CE2474">
        <w:rPr>
          <w:rFonts w:ascii="Times New Roman" w:hAnsi="Times New Roman" w:cs="Times New Roman"/>
          <w:iCs/>
          <w:sz w:val="23"/>
          <w:szCs w:val="23"/>
        </w:rPr>
        <w:t>.</w:t>
      </w:r>
    </w:p>
    <w:p w14:paraId="0CEFC60E"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As impugnações e pedidos de esclarecimentos não suspendem os prazos previstos no certame.</w:t>
      </w:r>
    </w:p>
    <w:p w14:paraId="658DD1CA" w14:textId="77777777" w:rsidR="00D81286" w:rsidRPr="00CE2474" w:rsidRDefault="00D81286" w:rsidP="00D81286">
      <w:pPr>
        <w:pStyle w:val="Nivel2"/>
        <w:numPr>
          <w:ilvl w:val="2"/>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concessão de efeito suspensivo à impugnação é medida excepcional e deverá ser motivada pelo Pregoeiro/Agente de Contratação/Comissão, nos autos do processo de licitação.</w:t>
      </w:r>
    </w:p>
    <w:p w14:paraId="0CB60FE6"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Acolhida a impugnação, será definida e publicada nova data para a realização do certame.</w:t>
      </w:r>
    </w:p>
    <w:p w14:paraId="3F8C920B" w14:textId="77777777" w:rsidR="00D81286" w:rsidRPr="00CE2474" w:rsidRDefault="00D81286" w:rsidP="00D81286">
      <w:pPr>
        <w:pStyle w:val="Nivel01"/>
        <w:rPr>
          <w:sz w:val="23"/>
          <w:szCs w:val="23"/>
        </w:rPr>
      </w:pPr>
      <w:bookmarkStart w:id="65" w:name="_Toc135469262"/>
      <w:bookmarkStart w:id="66" w:name="_Toc179572874"/>
      <w:r w:rsidRPr="00CE2474">
        <w:rPr>
          <w:sz w:val="23"/>
          <w:szCs w:val="23"/>
        </w:rPr>
        <w:t>DAS DISPOSIÇÕES GERAIS</w:t>
      </w:r>
      <w:bookmarkEnd w:id="65"/>
      <w:bookmarkEnd w:id="66"/>
    </w:p>
    <w:p w14:paraId="0ECB7F46"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Será divulgada ata da sessão pública no sistema eletrônico.</w:t>
      </w:r>
    </w:p>
    <w:p w14:paraId="2FDE5AA6"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00487151"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Todas as referências de tempo no Edital, no aviso e durante a sessão pública observarão o horário de Brasília - DF.</w:t>
      </w:r>
    </w:p>
    <w:p w14:paraId="762FF030"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A homologação do resultado desta licitação não implicará direito à contratação.</w:t>
      </w:r>
    </w:p>
    <w:p w14:paraId="281E5162"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E24ECB4"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59996F89"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Na contagem dos prazos estabelecidos neste Edital e seus Anexos, excluir-se-á o dia do início e incluir-se-á o do vencimento. Só se iniciam e vencem os prazos em dias de expediente na Administração.</w:t>
      </w:r>
    </w:p>
    <w:p w14:paraId="6E58B2CF"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O desatendimento de exigências formais não essenciais não importará o afastamento do licitante, desde que seja possível o aproveitamento do ato, observados os princípios da isonomia e do interesse público.</w:t>
      </w:r>
    </w:p>
    <w:p w14:paraId="5BD09972"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Em caso de divergência entre disposições deste Edital e de seus anexos ou demais peças que compõem o processo, prevalecerão as deste Edital.</w:t>
      </w:r>
    </w:p>
    <w:p w14:paraId="6C9B9A21"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lastRenderedPageBreak/>
        <w:t>O Edital e seus anexos estão disponíveis, na íntegra, no Portal Nacional de Contratações Públicas (PNCP) e endereço eletrônico da Fundação Estatal (</w:t>
      </w:r>
      <w:hyperlink r:id="rId36" w:history="1">
        <w:r w:rsidRPr="00CE2474">
          <w:rPr>
            <w:rFonts w:ascii="Times New Roman" w:hAnsi="Times New Roman" w:cs="Times New Roman"/>
            <w:iCs/>
            <w:sz w:val="23"/>
            <w:szCs w:val="23"/>
          </w:rPr>
          <w:t>https://www.fesaude.niteroi.rj.gov.br/licitacoes</w:t>
        </w:r>
      </w:hyperlink>
      <w:r w:rsidRPr="00CE2474">
        <w:rPr>
          <w:rFonts w:ascii="Times New Roman" w:hAnsi="Times New Roman" w:cs="Times New Roman"/>
          <w:iCs/>
          <w:sz w:val="23"/>
          <w:szCs w:val="23"/>
        </w:rPr>
        <w:t>).</w:t>
      </w:r>
    </w:p>
    <w:p w14:paraId="2874DD86" w14:textId="77777777" w:rsidR="00D81286" w:rsidRPr="00CE2474" w:rsidRDefault="00D81286" w:rsidP="00D81286">
      <w:pPr>
        <w:pStyle w:val="Nivel2"/>
        <w:numPr>
          <w:ilvl w:val="1"/>
          <w:numId w:val="2"/>
        </w:numPr>
        <w:spacing w:before="240" w:after="0"/>
        <w:ind w:left="0" w:firstLine="0"/>
        <w:rPr>
          <w:rFonts w:ascii="Times New Roman" w:hAnsi="Times New Roman" w:cs="Times New Roman"/>
          <w:iCs/>
          <w:sz w:val="23"/>
          <w:szCs w:val="23"/>
        </w:rPr>
      </w:pPr>
      <w:r w:rsidRPr="00CE2474">
        <w:rPr>
          <w:rFonts w:ascii="Times New Roman" w:hAnsi="Times New Roman" w:cs="Times New Roman"/>
          <w:iCs/>
          <w:sz w:val="23"/>
          <w:szCs w:val="23"/>
        </w:rPr>
        <w:t>Integram este Edital, para todos os fins e efeitos, os seguintes anexos:</w:t>
      </w:r>
    </w:p>
    <w:p w14:paraId="26632922" w14:textId="77777777" w:rsidR="00D81286" w:rsidRPr="00CE2474" w:rsidRDefault="00D81286" w:rsidP="00875DBA">
      <w:pPr>
        <w:pStyle w:val="Nivel2"/>
        <w:numPr>
          <w:ilvl w:val="2"/>
          <w:numId w:val="2"/>
        </w:numPr>
        <w:spacing w:before="0" w:after="0" w:line="240" w:lineRule="auto"/>
        <w:ind w:left="0" w:firstLine="0"/>
        <w:rPr>
          <w:rFonts w:ascii="Times New Roman" w:hAnsi="Times New Roman" w:cs="Times New Roman"/>
          <w:iCs/>
          <w:sz w:val="23"/>
          <w:szCs w:val="23"/>
        </w:rPr>
      </w:pPr>
      <w:r w:rsidRPr="00CE2474">
        <w:rPr>
          <w:rFonts w:ascii="Times New Roman" w:hAnsi="Times New Roman" w:cs="Times New Roman"/>
          <w:sz w:val="23"/>
          <w:szCs w:val="23"/>
        </w:rPr>
        <w:t>ANEXO I – Termo de Referência</w:t>
      </w:r>
    </w:p>
    <w:p w14:paraId="452DD3D2" w14:textId="77777777" w:rsidR="00D81286" w:rsidRPr="00CE2474" w:rsidRDefault="00D81286" w:rsidP="00875DBA">
      <w:pPr>
        <w:pStyle w:val="Nivel2"/>
        <w:numPr>
          <w:ilvl w:val="2"/>
          <w:numId w:val="2"/>
        </w:numPr>
        <w:spacing w:before="0" w:after="0" w:line="240" w:lineRule="auto"/>
        <w:ind w:left="0" w:firstLine="0"/>
        <w:rPr>
          <w:rFonts w:ascii="Times New Roman" w:hAnsi="Times New Roman" w:cs="Times New Roman"/>
          <w:iCs/>
          <w:sz w:val="23"/>
          <w:szCs w:val="23"/>
        </w:rPr>
      </w:pPr>
      <w:r w:rsidRPr="00CE2474">
        <w:rPr>
          <w:rFonts w:ascii="Times New Roman" w:hAnsi="Times New Roman" w:cs="Times New Roman"/>
          <w:sz w:val="23"/>
          <w:szCs w:val="23"/>
        </w:rPr>
        <w:t xml:space="preserve">ANEXO II – Minuta de Ata de Registro de Preços </w:t>
      </w:r>
    </w:p>
    <w:p w14:paraId="0A23EA4C" w14:textId="77777777" w:rsidR="00D81286" w:rsidRPr="00CE2474" w:rsidRDefault="00D81286" w:rsidP="00875DBA">
      <w:pPr>
        <w:pStyle w:val="Nivel2"/>
        <w:numPr>
          <w:ilvl w:val="2"/>
          <w:numId w:val="2"/>
        </w:numPr>
        <w:spacing w:before="0" w:after="0" w:line="240" w:lineRule="auto"/>
        <w:ind w:left="0" w:firstLine="0"/>
        <w:rPr>
          <w:rFonts w:ascii="Times New Roman" w:hAnsi="Times New Roman" w:cs="Times New Roman"/>
          <w:iCs/>
          <w:sz w:val="23"/>
          <w:szCs w:val="23"/>
        </w:rPr>
      </w:pPr>
      <w:r w:rsidRPr="00CE2474">
        <w:rPr>
          <w:rFonts w:ascii="Times New Roman" w:hAnsi="Times New Roman" w:cs="Times New Roman"/>
          <w:sz w:val="23"/>
          <w:szCs w:val="23"/>
        </w:rPr>
        <w:t>ANEXO III – Planilha de Custos e Formação de Preços Unitários</w:t>
      </w:r>
    </w:p>
    <w:p w14:paraId="1EE01245" w14:textId="77777777" w:rsidR="00D81286" w:rsidRPr="00CE2474" w:rsidRDefault="00D81286" w:rsidP="00875DBA">
      <w:pPr>
        <w:pStyle w:val="Nivel2"/>
        <w:numPr>
          <w:ilvl w:val="2"/>
          <w:numId w:val="2"/>
        </w:numPr>
        <w:spacing w:before="0" w:after="0" w:line="240" w:lineRule="auto"/>
        <w:ind w:left="0" w:firstLine="0"/>
        <w:rPr>
          <w:rFonts w:ascii="Times New Roman" w:hAnsi="Times New Roman" w:cs="Times New Roman"/>
          <w:iCs/>
          <w:sz w:val="23"/>
          <w:szCs w:val="23"/>
        </w:rPr>
      </w:pPr>
      <w:r w:rsidRPr="00CE2474">
        <w:rPr>
          <w:rFonts w:ascii="Times New Roman" w:hAnsi="Times New Roman" w:cs="Times New Roman"/>
          <w:sz w:val="23"/>
          <w:szCs w:val="23"/>
        </w:rPr>
        <w:t>ANEXO IV – Modelo de Formulário de Proposta de Preços</w:t>
      </w:r>
    </w:p>
    <w:p w14:paraId="15299E70" w14:textId="77777777" w:rsidR="00D81286" w:rsidRPr="00CE2474" w:rsidRDefault="00D81286" w:rsidP="00875DBA">
      <w:pPr>
        <w:pStyle w:val="Nivel2"/>
        <w:numPr>
          <w:ilvl w:val="2"/>
          <w:numId w:val="2"/>
        </w:numPr>
        <w:spacing w:before="0" w:after="0" w:line="240" w:lineRule="auto"/>
        <w:ind w:left="0" w:firstLine="0"/>
        <w:rPr>
          <w:rFonts w:ascii="Times New Roman" w:hAnsi="Times New Roman" w:cs="Times New Roman"/>
          <w:iCs/>
          <w:sz w:val="23"/>
          <w:szCs w:val="23"/>
        </w:rPr>
      </w:pPr>
      <w:r w:rsidRPr="00CE2474">
        <w:rPr>
          <w:rFonts w:ascii="Times New Roman" w:hAnsi="Times New Roman" w:cs="Times New Roman"/>
          <w:sz w:val="23"/>
          <w:szCs w:val="23"/>
        </w:rPr>
        <w:t>ANEXO V – Modelo de Declaração de não Contribuinte de ISS e Taxas</w:t>
      </w:r>
    </w:p>
    <w:p w14:paraId="78AFD918" w14:textId="77777777" w:rsidR="00D81286" w:rsidRPr="00CE2474" w:rsidRDefault="00D81286" w:rsidP="00875DBA">
      <w:pPr>
        <w:pStyle w:val="Nivel2"/>
        <w:numPr>
          <w:ilvl w:val="2"/>
          <w:numId w:val="2"/>
        </w:numPr>
        <w:spacing w:before="0" w:after="0" w:line="240" w:lineRule="auto"/>
        <w:ind w:left="0" w:firstLine="0"/>
        <w:rPr>
          <w:rFonts w:ascii="Times New Roman" w:hAnsi="Times New Roman" w:cs="Times New Roman"/>
          <w:iCs/>
          <w:sz w:val="23"/>
          <w:szCs w:val="23"/>
        </w:rPr>
      </w:pPr>
      <w:r w:rsidRPr="00CE2474">
        <w:rPr>
          <w:rFonts w:ascii="Times New Roman" w:hAnsi="Times New Roman" w:cs="Times New Roman"/>
          <w:sz w:val="23"/>
          <w:szCs w:val="23"/>
        </w:rPr>
        <w:t>ANEXO VI – Modelo de Declaração de Optante pelo Simples Nacional</w:t>
      </w:r>
    </w:p>
    <w:p w14:paraId="0D286695" w14:textId="77777777" w:rsidR="00D81286" w:rsidRPr="00CE2474" w:rsidRDefault="00D81286" w:rsidP="00875DBA">
      <w:pPr>
        <w:pStyle w:val="Nivel2"/>
        <w:numPr>
          <w:ilvl w:val="2"/>
          <w:numId w:val="2"/>
        </w:numPr>
        <w:spacing w:before="0" w:after="0" w:line="240" w:lineRule="auto"/>
        <w:ind w:left="0" w:firstLine="0"/>
        <w:rPr>
          <w:rFonts w:ascii="Times New Roman" w:hAnsi="Times New Roman" w:cs="Times New Roman"/>
          <w:iCs/>
          <w:sz w:val="23"/>
          <w:szCs w:val="23"/>
        </w:rPr>
      </w:pPr>
      <w:r w:rsidRPr="00CE2474">
        <w:rPr>
          <w:rFonts w:ascii="Times New Roman" w:hAnsi="Times New Roman" w:cs="Times New Roman"/>
          <w:sz w:val="23"/>
          <w:szCs w:val="23"/>
        </w:rPr>
        <w:t>ANEXO VII – Modelo de Ordem de Compra</w:t>
      </w:r>
    </w:p>
    <w:p w14:paraId="61F41527" w14:textId="77777777" w:rsidR="00875DBA" w:rsidRDefault="00875DBA" w:rsidP="00D81286">
      <w:pPr>
        <w:spacing w:line="276" w:lineRule="auto"/>
        <w:jc w:val="both"/>
        <w:rPr>
          <w:rFonts w:ascii="Times New Roman" w:eastAsia="MS Mincho" w:hAnsi="Times New Roman" w:cs="Times New Roman"/>
          <w:b/>
          <w:bCs/>
          <w:color w:val="000000"/>
          <w:sz w:val="23"/>
          <w:szCs w:val="23"/>
        </w:rPr>
      </w:pPr>
    </w:p>
    <w:p w14:paraId="026B773C" w14:textId="4B36B0C4" w:rsidR="00D81286" w:rsidRPr="00437D22" w:rsidRDefault="00D81286" w:rsidP="00D81286">
      <w:pPr>
        <w:spacing w:line="276" w:lineRule="auto"/>
        <w:jc w:val="both"/>
        <w:rPr>
          <w:rFonts w:ascii="Times New Roman" w:eastAsia="MS Mincho" w:hAnsi="Times New Roman" w:cs="Times New Roman"/>
          <w:b/>
          <w:bCs/>
          <w:color w:val="000000"/>
          <w:sz w:val="23"/>
          <w:szCs w:val="23"/>
        </w:rPr>
      </w:pPr>
      <w:r w:rsidRPr="00437D22">
        <w:rPr>
          <w:rFonts w:ascii="Times New Roman" w:eastAsia="MS Mincho" w:hAnsi="Times New Roman" w:cs="Times New Roman"/>
          <w:b/>
          <w:bCs/>
          <w:color w:val="000000"/>
          <w:sz w:val="23"/>
          <w:szCs w:val="23"/>
        </w:rPr>
        <w:t xml:space="preserve">Niterói, </w:t>
      </w:r>
      <w:proofErr w:type="spellStart"/>
      <w:r w:rsidR="00DD37E1" w:rsidRPr="00CE2474">
        <w:rPr>
          <w:rFonts w:ascii="Times New Roman" w:eastAsia="MS Mincho" w:hAnsi="Times New Roman" w:cs="Times New Roman"/>
          <w:b/>
          <w:bCs/>
          <w:color w:val="000000"/>
          <w:sz w:val="23"/>
          <w:szCs w:val="23"/>
          <w:highlight w:val="yellow"/>
        </w:rPr>
        <w:t>xx</w:t>
      </w:r>
      <w:proofErr w:type="spellEnd"/>
      <w:r w:rsidR="00DD37E1">
        <w:rPr>
          <w:rFonts w:ascii="Times New Roman" w:eastAsia="MS Mincho" w:hAnsi="Times New Roman" w:cs="Times New Roman"/>
          <w:b/>
          <w:bCs/>
          <w:color w:val="000000"/>
          <w:sz w:val="23"/>
          <w:szCs w:val="23"/>
        </w:rPr>
        <w:t xml:space="preserve"> de </w:t>
      </w:r>
      <w:r w:rsidR="00CE2474">
        <w:rPr>
          <w:rFonts w:ascii="Times New Roman" w:eastAsia="MS Mincho" w:hAnsi="Times New Roman" w:cs="Times New Roman"/>
          <w:b/>
          <w:bCs/>
          <w:color w:val="000000"/>
          <w:sz w:val="23"/>
          <w:szCs w:val="23"/>
        </w:rPr>
        <w:t>março</w:t>
      </w:r>
      <w:r w:rsidR="00DD37E1">
        <w:rPr>
          <w:rFonts w:ascii="Times New Roman" w:eastAsia="MS Mincho" w:hAnsi="Times New Roman" w:cs="Times New Roman"/>
          <w:b/>
          <w:bCs/>
          <w:color w:val="000000"/>
          <w:sz w:val="23"/>
          <w:szCs w:val="23"/>
        </w:rPr>
        <w:t xml:space="preserve"> de 2026</w:t>
      </w:r>
    </w:p>
    <w:p w14:paraId="6FC9DE7C" w14:textId="77777777" w:rsidR="00D81286" w:rsidRPr="00437D22" w:rsidRDefault="00D81286" w:rsidP="00D81286">
      <w:pPr>
        <w:spacing w:before="240" w:line="276" w:lineRule="auto"/>
        <w:jc w:val="both"/>
        <w:rPr>
          <w:rFonts w:ascii="Times New Roman" w:eastAsia="MS Mincho" w:hAnsi="Times New Roman" w:cs="Times New Roman"/>
          <w:color w:val="000000"/>
          <w:sz w:val="23"/>
          <w:szCs w:val="23"/>
        </w:rPr>
      </w:pPr>
    </w:p>
    <w:tbl>
      <w:tblPr>
        <w:tblW w:w="9493" w:type="dxa"/>
        <w:jc w:val="center"/>
        <w:tblLook w:val="04A0" w:firstRow="1" w:lastRow="0" w:firstColumn="1" w:lastColumn="0" w:noHBand="0" w:noVBand="1"/>
      </w:tblPr>
      <w:tblGrid>
        <w:gridCol w:w="4663"/>
        <w:gridCol w:w="4830"/>
      </w:tblGrid>
      <w:tr w:rsidR="00D81286" w:rsidRPr="00437D22" w14:paraId="6D777DCC" w14:textId="77777777" w:rsidTr="00D81286">
        <w:trPr>
          <w:trHeight w:val="1474"/>
          <w:jc w:val="center"/>
        </w:trPr>
        <w:tc>
          <w:tcPr>
            <w:tcW w:w="4663" w:type="dxa"/>
            <w:tcBorders>
              <w:top w:val="nil"/>
              <w:left w:val="nil"/>
              <w:bottom w:val="nil"/>
              <w:right w:val="nil"/>
            </w:tcBorders>
            <w:vAlign w:val="center"/>
          </w:tcPr>
          <w:bookmarkEnd w:id="41"/>
          <w:p w14:paraId="2E6922E7"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b/>
                <w:bCs/>
                <w:sz w:val="23"/>
                <w:szCs w:val="23"/>
              </w:rPr>
            </w:pPr>
            <w:r w:rsidRPr="00437D22">
              <w:rPr>
                <w:rFonts w:ascii="Times New Roman" w:hAnsi="Times New Roman" w:cs="Times New Roman"/>
                <w:b/>
                <w:bCs/>
                <w:sz w:val="23"/>
                <w:szCs w:val="23"/>
              </w:rPr>
              <w:t>Autorizo:</w:t>
            </w:r>
          </w:p>
          <w:p w14:paraId="126CB909"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sz w:val="23"/>
                <w:szCs w:val="23"/>
              </w:rPr>
            </w:pPr>
          </w:p>
          <w:p w14:paraId="70033BD3"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sz w:val="23"/>
                <w:szCs w:val="23"/>
              </w:rPr>
            </w:pPr>
          </w:p>
          <w:p w14:paraId="471AF846"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b/>
                <w:bCs/>
                <w:sz w:val="23"/>
                <w:szCs w:val="23"/>
              </w:rPr>
            </w:pPr>
            <w:r w:rsidRPr="00437D22">
              <w:rPr>
                <w:rFonts w:ascii="Times New Roman" w:hAnsi="Times New Roman" w:cs="Times New Roman"/>
                <w:b/>
                <w:bCs/>
                <w:sz w:val="23"/>
                <w:szCs w:val="23"/>
              </w:rPr>
              <w:t>Paula Barros Félix</w:t>
            </w:r>
          </w:p>
          <w:p w14:paraId="70B3818C"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sz w:val="23"/>
                <w:szCs w:val="23"/>
              </w:rPr>
            </w:pPr>
            <w:r w:rsidRPr="00437D22">
              <w:rPr>
                <w:rFonts w:ascii="Times New Roman" w:hAnsi="Times New Roman" w:cs="Times New Roman"/>
                <w:sz w:val="23"/>
                <w:szCs w:val="23"/>
              </w:rPr>
              <w:t>Diretora de Administração e Finanças</w:t>
            </w:r>
          </w:p>
          <w:p w14:paraId="317DDC2F"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sz w:val="23"/>
                <w:szCs w:val="23"/>
              </w:rPr>
            </w:pPr>
            <w:r w:rsidRPr="00437D22">
              <w:rPr>
                <w:rFonts w:ascii="Times New Roman" w:hAnsi="Times New Roman" w:cs="Times New Roman"/>
                <w:sz w:val="23"/>
                <w:szCs w:val="23"/>
              </w:rPr>
              <w:t>Fundação Estatal de Saúde de Niterói</w:t>
            </w:r>
          </w:p>
        </w:tc>
        <w:tc>
          <w:tcPr>
            <w:tcW w:w="4830" w:type="dxa"/>
            <w:tcBorders>
              <w:top w:val="nil"/>
              <w:left w:val="nil"/>
              <w:bottom w:val="nil"/>
              <w:right w:val="nil"/>
            </w:tcBorders>
            <w:vAlign w:val="center"/>
          </w:tcPr>
          <w:p w14:paraId="4474C885"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b/>
                <w:bCs/>
                <w:sz w:val="23"/>
                <w:szCs w:val="23"/>
              </w:rPr>
            </w:pPr>
            <w:r w:rsidRPr="00437D22">
              <w:rPr>
                <w:rFonts w:ascii="Times New Roman" w:hAnsi="Times New Roman" w:cs="Times New Roman"/>
                <w:b/>
                <w:bCs/>
                <w:sz w:val="23"/>
                <w:szCs w:val="23"/>
              </w:rPr>
              <w:t>Ratifico:</w:t>
            </w:r>
          </w:p>
          <w:p w14:paraId="4F3D812A"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sz w:val="23"/>
                <w:szCs w:val="23"/>
              </w:rPr>
            </w:pPr>
          </w:p>
          <w:p w14:paraId="059102DA"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sz w:val="23"/>
                <w:szCs w:val="23"/>
              </w:rPr>
            </w:pPr>
          </w:p>
          <w:p w14:paraId="27270976"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b/>
                <w:bCs/>
                <w:sz w:val="23"/>
                <w:szCs w:val="23"/>
              </w:rPr>
            </w:pPr>
            <w:r w:rsidRPr="00437D22">
              <w:rPr>
                <w:rFonts w:ascii="Times New Roman" w:hAnsi="Times New Roman" w:cs="Times New Roman"/>
                <w:b/>
                <w:bCs/>
                <w:sz w:val="23"/>
                <w:szCs w:val="23"/>
              </w:rPr>
              <w:t xml:space="preserve">Maria Célia </w:t>
            </w:r>
            <w:proofErr w:type="spellStart"/>
            <w:r w:rsidRPr="00437D22">
              <w:rPr>
                <w:rFonts w:ascii="Times New Roman" w:hAnsi="Times New Roman" w:cs="Times New Roman"/>
                <w:b/>
                <w:bCs/>
                <w:sz w:val="23"/>
                <w:szCs w:val="23"/>
              </w:rPr>
              <w:t>Valladares</w:t>
            </w:r>
            <w:proofErr w:type="spellEnd"/>
            <w:r w:rsidRPr="00437D22">
              <w:rPr>
                <w:rFonts w:ascii="Times New Roman" w:hAnsi="Times New Roman" w:cs="Times New Roman"/>
                <w:b/>
                <w:bCs/>
                <w:sz w:val="23"/>
                <w:szCs w:val="23"/>
              </w:rPr>
              <w:t xml:space="preserve"> Vasconcellos</w:t>
            </w:r>
          </w:p>
          <w:p w14:paraId="1FA2CA69"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sz w:val="23"/>
                <w:szCs w:val="23"/>
              </w:rPr>
            </w:pPr>
            <w:r w:rsidRPr="00437D22">
              <w:rPr>
                <w:rFonts w:ascii="Times New Roman" w:hAnsi="Times New Roman" w:cs="Times New Roman"/>
                <w:sz w:val="23"/>
                <w:szCs w:val="23"/>
              </w:rPr>
              <w:t>Diretora Geral</w:t>
            </w:r>
          </w:p>
          <w:p w14:paraId="433BF01E" w14:textId="77777777" w:rsidR="00D81286" w:rsidRPr="00437D22" w:rsidRDefault="00D81286" w:rsidP="00D81286">
            <w:pPr>
              <w:widowControl w:val="0"/>
              <w:overflowPunct w:val="0"/>
              <w:adjustRightInd w:val="0"/>
              <w:spacing w:line="276" w:lineRule="auto"/>
              <w:jc w:val="center"/>
              <w:rPr>
                <w:rFonts w:ascii="Times New Roman" w:hAnsi="Times New Roman" w:cs="Times New Roman"/>
                <w:sz w:val="23"/>
                <w:szCs w:val="23"/>
              </w:rPr>
            </w:pPr>
            <w:r w:rsidRPr="00437D22">
              <w:rPr>
                <w:rFonts w:ascii="Times New Roman" w:hAnsi="Times New Roman" w:cs="Times New Roman"/>
                <w:sz w:val="23"/>
                <w:szCs w:val="23"/>
              </w:rPr>
              <w:t>Fundação Estatal de Saúde de Niterói</w:t>
            </w:r>
          </w:p>
        </w:tc>
      </w:tr>
    </w:tbl>
    <w:p w14:paraId="1C21DF37" w14:textId="77777777" w:rsidR="006146B8" w:rsidRPr="00875DBA" w:rsidRDefault="006146B8" w:rsidP="00875DBA"/>
    <w:sectPr w:rsidR="006146B8" w:rsidRPr="00875DBA" w:rsidSect="00CE2474">
      <w:headerReference w:type="default" r:id="rId37"/>
      <w:footerReference w:type="default" r:id="rId38"/>
      <w:pgSz w:w="11906" w:h="16838"/>
      <w:pgMar w:top="1985" w:right="1418" w:bottom="1418" w:left="1418"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165F3" w14:textId="77777777" w:rsidR="00CF68F7" w:rsidRDefault="00CF68F7" w:rsidP="004C4B86">
      <w:r>
        <w:separator/>
      </w:r>
    </w:p>
  </w:endnote>
  <w:endnote w:type="continuationSeparator" w:id="0">
    <w:p w14:paraId="0D7DBA4C" w14:textId="77777777" w:rsidR="00CF68F7" w:rsidRDefault="00CF68F7" w:rsidP="004C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Montserrat">
    <w:altName w:val="Times New Roman"/>
    <w:charset w:val="00"/>
    <w:family w:val="auto"/>
    <w:pitch w:val="variable"/>
    <w:sig w:usb0="00000001" w:usb1="00000003" w:usb2="00000000" w:usb3="00000000" w:csb0="00000197" w:csb1="00000000"/>
  </w:font>
  <w:font w:name="Poppins">
    <w:altName w:val="Times New Roman"/>
    <w:charset w:val="00"/>
    <w:family w:val="auto"/>
    <w:pitch w:val="variable"/>
    <w:sig w:usb0="00000001"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5236" w14:textId="77777777" w:rsidR="00710505" w:rsidRDefault="00710505" w:rsidP="00D81286">
    <w:pPr>
      <w:pStyle w:val="Rodap"/>
      <w:ind w:left="-1701"/>
      <w:jc w:val="center"/>
    </w:pPr>
    <w:r>
      <w:rPr>
        <w:noProof/>
        <w:lang w:eastAsia="pt-BR"/>
      </w:rPr>
      <w:drawing>
        <wp:inline distT="0" distB="0" distL="0" distR="0" wp14:anchorId="50776849" wp14:editId="0FE8A7F1">
          <wp:extent cx="10124440" cy="812790"/>
          <wp:effectExtent l="0" t="0" r="0" b="0"/>
          <wp:docPr id="2" name="Imagem 3"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09432" name="Imagem 3" descr="Gráfico&#10;&#10;O conteúdo gerado por IA pode estar incorreto."/>
                  <pic:cNvPicPr/>
                </pic:nvPicPr>
                <pic:blipFill rotWithShape="1">
                  <a:blip r:embed="rId1">
                    <a:extLst>
                      <a:ext uri="{28A0092B-C50C-407E-A947-70E740481C1C}">
                        <a14:useLocalDpi xmlns:a14="http://schemas.microsoft.com/office/drawing/2010/main" val="0"/>
                      </a:ext>
                    </a:extLst>
                  </a:blip>
                  <a:srcRect l="19815" t="80217" r="-7053" b="-3533"/>
                  <a:stretch>
                    <a:fillRect/>
                  </a:stretch>
                </pic:blipFill>
                <pic:spPr bwMode="auto">
                  <a:xfrm>
                    <a:off x="0" y="0"/>
                    <a:ext cx="10478536" cy="84121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50EF9" w14:textId="77777777" w:rsidR="00CF68F7" w:rsidRDefault="00CF68F7" w:rsidP="004C4B86">
      <w:r>
        <w:separator/>
      </w:r>
    </w:p>
  </w:footnote>
  <w:footnote w:type="continuationSeparator" w:id="0">
    <w:p w14:paraId="39E0AE3E" w14:textId="77777777" w:rsidR="00CF68F7" w:rsidRDefault="00CF68F7" w:rsidP="004C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18DC1" w14:textId="77777777" w:rsidR="00710505" w:rsidRDefault="00710505" w:rsidP="00D81286">
    <w:pPr>
      <w:pStyle w:val="Cabealho"/>
      <w:ind w:left="-1843"/>
    </w:pPr>
    <w:r>
      <w:rPr>
        <w:noProof/>
        <w:lang w:eastAsia="pt-BR"/>
      </w:rPr>
      <w:drawing>
        <wp:inline distT="0" distB="0" distL="0" distR="0" wp14:anchorId="2E01EC38" wp14:editId="1ACFE91A">
          <wp:extent cx="11811908" cy="1071880"/>
          <wp:effectExtent l="0" t="0" r="0" b="0"/>
          <wp:docPr id="1" name="Imagem 2"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24022" name="Imagem 2" descr="Gráfico&#10;&#10;O conteúdo gerado por IA pode estar incorreto."/>
                  <pic:cNvPicPr/>
                </pic:nvPicPr>
                <pic:blipFill rotWithShape="1">
                  <a:blip r:embed="rId1">
                    <a:extLst>
                      <a:ext uri="{28A0092B-C50C-407E-A947-70E740481C1C}">
                        <a14:useLocalDpi xmlns:a14="http://schemas.microsoft.com/office/drawing/2010/main" val="0"/>
                      </a:ext>
                    </a:extLst>
                  </a:blip>
                  <a:srcRect b="63676"/>
                  <a:stretch>
                    <a:fillRect/>
                  </a:stretch>
                </pic:blipFill>
                <pic:spPr bwMode="auto">
                  <a:xfrm>
                    <a:off x="0" y="0"/>
                    <a:ext cx="12085197" cy="109668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pt-BR"/>
      </w:rPr>
      <w:drawing>
        <wp:anchor distT="0" distB="0" distL="114300" distR="114300" simplePos="0" relativeHeight="251659264" behindDoc="0" locked="0" layoutInCell="1" allowOverlap="1" wp14:anchorId="352E4C3C" wp14:editId="4C2F5FB4">
          <wp:simplePos x="0" y="0"/>
          <wp:positionH relativeFrom="column">
            <wp:posOffset>-8810806</wp:posOffset>
          </wp:positionH>
          <wp:positionV relativeFrom="paragraph">
            <wp:posOffset>543379</wp:posOffset>
          </wp:positionV>
          <wp:extent cx="3149600" cy="4455161"/>
          <wp:effectExtent l="0" t="0" r="0" b="2540"/>
          <wp:wrapNone/>
          <wp:docPr id="1607913315" name="Imagem 1607913315"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99696" name="Imagem 1330099696" descr="Uma imagem contendo Interface gráfica do usuári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3149600" cy="445516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0AB5"/>
    <w:multiLevelType w:val="hybridMultilevel"/>
    <w:tmpl w:val="C34A665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nsid w:val="1C0C3A46"/>
    <w:multiLevelType w:val="hybridMultilevel"/>
    <w:tmpl w:val="9BF48F9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nsid w:val="22DE5FF6"/>
    <w:multiLevelType w:val="multilevel"/>
    <w:tmpl w:val="572215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671A22"/>
    <w:multiLevelType w:val="multilevel"/>
    <w:tmpl w:val="4A2CFC84"/>
    <w:lvl w:ilvl="0">
      <w:start w:val="1"/>
      <w:numFmt w:val="decimal"/>
      <w:lvlText w:val="%1."/>
      <w:lvlJc w:val="left"/>
      <w:pPr>
        <w:ind w:left="720" w:hanging="360"/>
      </w:pPr>
      <w:rPr>
        <w:rFonts w:ascii="Times New Roman" w:eastAsiaTheme="maj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6B167F1"/>
    <w:multiLevelType w:val="multilevel"/>
    <w:tmpl w:val="A934DC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D9C0FF3"/>
    <w:multiLevelType w:val="multilevel"/>
    <w:tmpl w:val="7E784006"/>
    <w:lvl w:ilvl="0">
      <w:start w:val="1"/>
      <w:numFmt w:val="decimal"/>
      <w:pStyle w:val="Nivel01"/>
      <w:lvlText w:val="%1."/>
      <w:lvlJc w:val="left"/>
      <w:pPr>
        <w:ind w:left="786" w:hanging="360"/>
      </w:pPr>
      <w:rPr>
        <w:rFonts w:hint="default"/>
        <w:i w:val="0"/>
        <w:color w:val="000000" w:themeColor="text1"/>
      </w:rPr>
    </w:lvl>
    <w:lvl w:ilvl="1">
      <w:start w:val="1"/>
      <w:numFmt w:val="decimal"/>
      <w:pStyle w:val="Nvel2-Red"/>
      <w:isLgl/>
      <w:lvlText w:val="%1.%2."/>
      <w:lvlJc w:val="left"/>
      <w:pPr>
        <w:ind w:left="360" w:hanging="360"/>
      </w:pPr>
      <w:rPr>
        <w:rFonts w:hint="default"/>
        <w:b w:val="0"/>
        <w:bCs w:val="0"/>
        <w:sz w:val="24"/>
        <w:szCs w:val="24"/>
      </w:rPr>
    </w:lvl>
    <w:lvl w:ilvl="2">
      <w:start w:val="1"/>
      <w:numFmt w:val="decimal"/>
      <w:isLgl/>
      <w:lvlText w:val="%1.%2.%3."/>
      <w:lvlJc w:val="left"/>
      <w:pPr>
        <w:ind w:left="1855" w:hanging="720"/>
      </w:pPr>
      <w:rPr>
        <w:rFonts w:hint="default"/>
        <w:b w:val="0"/>
        <w:b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86"/>
    <w:rsid w:val="000D3728"/>
    <w:rsid w:val="000D6C2D"/>
    <w:rsid w:val="000F7B34"/>
    <w:rsid w:val="002A6FAB"/>
    <w:rsid w:val="002D22CB"/>
    <w:rsid w:val="003520BE"/>
    <w:rsid w:val="0043243A"/>
    <w:rsid w:val="00437228"/>
    <w:rsid w:val="004454C2"/>
    <w:rsid w:val="00484EC4"/>
    <w:rsid w:val="004C4B86"/>
    <w:rsid w:val="004D68B7"/>
    <w:rsid w:val="005E0544"/>
    <w:rsid w:val="00614154"/>
    <w:rsid w:val="006146B8"/>
    <w:rsid w:val="00676C2D"/>
    <w:rsid w:val="006772A9"/>
    <w:rsid w:val="006C2BC6"/>
    <w:rsid w:val="00710505"/>
    <w:rsid w:val="00875DBA"/>
    <w:rsid w:val="009A0A8E"/>
    <w:rsid w:val="009F50CE"/>
    <w:rsid w:val="00A73833"/>
    <w:rsid w:val="00B56D91"/>
    <w:rsid w:val="00B732F0"/>
    <w:rsid w:val="00B76F1A"/>
    <w:rsid w:val="00BB382F"/>
    <w:rsid w:val="00C54DFD"/>
    <w:rsid w:val="00CE2474"/>
    <w:rsid w:val="00CF68F7"/>
    <w:rsid w:val="00D00A39"/>
    <w:rsid w:val="00D81286"/>
    <w:rsid w:val="00DD37E1"/>
    <w:rsid w:val="00E52901"/>
    <w:rsid w:val="00EF4955"/>
    <w:rsid w:val="00EF5D41"/>
    <w:rsid w:val="00F121A0"/>
    <w:rsid w:val="00F7383D"/>
    <w:rsid w:val="00F91F45"/>
    <w:rsid w:val="00FA64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86"/>
    <w:pPr>
      <w:spacing w:after="0" w:line="240" w:lineRule="auto"/>
    </w:pPr>
    <w:rPr>
      <w:sz w:val="24"/>
      <w:szCs w:val="24"/>
    </w:rPr>
  </w:style>
  <w:style w:type="paragraph" w:styleId="Ttulo1">
    <w:name w:val="heading 1"/>
    <w:basedOn w:val="Normal"/>
    <w:next w:val="Normal"/>
    <w:link w:val="Ttulo1Char"/>
    <w:uiPriority w:val="9"/>
    <w:qFormat/>
    <w:rsid w:val="00D812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D81286"/>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128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D81286"/>
    <w:rPr>
      <w:rFonts w:asciiTheme="majorHAnsi" w:eastAsiaTheme="majorEastAsia" w:hAnsiTheme="majorHAnsi" w:cstheme="majorBidi"/>
      <w:color w:val="243F60" w:themeColor="accent1" w:themeShade="7F"/>
      <w:sz w:val="24"/>
      <w:szCs w:val="24"/>
    </w:rPr>
  </w:style>
  <w:style w:type="paragraph" w:styleId="Cabealho">
    <w:name w:val="header"/>
    <w:basedOn w:val="Normal"/>
    <w:link w:val="CabealhoChar"/>
    <w:uiPriority w:val="99"/>
    <w:unhideWhenUsed/>
    <w:rsid w:val="00D81286"/>
    <w:pPr>
      <w:tabs>
        <w:tab w:val="center" w:pos="4252"/>
        <w:tab w:val="right" w:pos="8504"/>
      </w:tabs>
    </w:pPr>
  </w:style>
  <w:style w:type="character" w:customStyle="1" w:styleId="CabealhoChar">
    <w:name w:val="Cabeçalho Char"/>
    <w:basedOn w:val="Fontepargpadro"/>
    <w:link w:val="Cabealho"/>
    <w:uiPriority w:val="99"/>
    <w:qFormat/>
    <w:rsid w:val="00D81286"/>
    <w:rPr>
      <w:sz w:val="24"/>
      <w:szCs w:val="24"/>
    </w:rPr>
  </w:style>
  <w:style w:type="paragraph" w:styleId="Rodap">
    <w:name w:val="footer"/>
    <w:basedOn w:val="Normal"/>
    <w:link w:val="RodapChar"/>
    <w:uiPriority w:val="99"/>
    <w:unhideWhenUsed/>
    <w:rsid w:val="00D81286"/>
    <w:pPr>
      <w:tabs>
        <w:tab w:val="center" w:pos="4252"/>
        <w:tab w:val="right" w:pos="8504"/>
      </w:tabs>
    </w:pPr>
  </w:style>
  <w:style w:type="character" w:customStyle="1" w:styleId="RodapChar">
    <w:name w:val="Rodapé Char"/>
    <w:basedOn w:val="Fontepargpadro"/>
    <w:link w:val="Rodap"/>
    <w:uiPriority w:val="99"/>
    <w:rsid w:val="00D81286"/>
    <w:rPr>
      <w:sz w:val="24"/>
      <w:szCs w:val="24"/>
    </w:rPr>
  </w:style>
  <w:style w:type="paragraph" w:styleId="PargrafodaLista">
    <w:name w:val="List Paragraph"/>
    <w:basedOn w:val="Normal"/>
    <w:link w:val="PargrafodaListaChar"/>
    <w:uiPriority w:val="34"/>
    <w:qFormat/>
    <w:rsid w:val="00D81286"/>
    <w:pPr>
      <w:ind w:left="720"/>
      <w:contextualSpacing/>
    </w:pPr>
    <w:rPr>
      <w:rFonts w:ascii="Ecofont_Spranq_eco_Sans" w:eastAsiaTheme="minorEastAsia" w:hAnsi="Ecofont_Spranq_eco_Sans" w:cs="Tahoma"/>
      <w:lang w:eastAsia="pt-BR"/>
    </w:rPr>
  </w:style>
  <w:style w:type="character" w:customStyle="1" w:styleId="PargrafodaListaChar">
    <w:name w:val="Parágrafo da Lista Char"/>
    <w:basedOn w:val="Fontepargpadro"/>
    <w:link w:val="PargrafodaLista"/>
    <w:uiPriority w:val="34"/>
    <w:rsid w:val="00D81286"/>
    <w:rPr>
      <w:rFonts w:ascii="Ecofont_Spranq_eco_Sans" w:eastAsiaTheme="minorEastAsia" w:hAnsi="Ecofont_Spranq_eco_Sans" w:cs="Tahoma"/>
      <w:sz w:val="24"/>
      <w:szCs w:val="24"/>
      <w:lang w:eastAsia="pt-BR"/>
    </w:rPr>
  </w:style>
  <w:style w:type="character" w:styleId="Hyperlink">
    <w:name w:val="Hyperlink"/>
    <w:uiPriority w:val="99"/>
    <w:rsid w:val="00D81286"/>
    <w:rPr>
      <w:color w:val="000080"/>
      <w:u w:val="single"/>
    </w:rPr>
  </w:style>
  <w:style w:type="paragraph" w:customStyle="1" w:styleId="Nivel01">
    <w:name w:val="Nivel 01"/>
    <w:basedOn w:val="Ttulo1"/>
    <w:next w:val="Normal"/>
    <w:link w:val="Nivel01Char"/>
    <w:autoRedefine/>
    <w:qFormat/>
    <w:rsid w:val="00D81286"/>
    <w:pPr>
      <w:numPr>
        <w:numId w:val="2"/>
      </w:numPr>
      <w:shd w:val="clear" w:color="auto" w:fill="F2F2F2" w:themeFill="background1" w:themeFillShade="F2"/>
      <w:tabs>
        <w:tab w:val="left" w:pos="284"/>
      </w:tabs>
      <w:spacing w:before="240" w:line="276" w:lineRule="auto"/>
      <w:ind w:left="0" w:firstLine="0"/>
      <w:jc w:val="both"/>
    </w:pPr>
    <w:rPr>
      <w:rFonts w:ascii="Times New Roman" w:hAnsi="Times New Roman" w:cs="Times New Roman"/>
      <w:color w:val="000000" w:themeColor="text1"/>
      <w:spacing w:val="5"/>
      <w:kern w:val="28"/>
      <w:sz w:val="24"/>
      <w:szCs w:val="24"/>
      <w:lang w:eastAsia="pt-BR"/>
    </w:rPr>
  </w:style>
  <w:style w:type="character" w:customStyle="1" w:styleId="Nivel01Char">
    <w:name w:val="Nivel 01 Char"/>
    <w:basedOn w:val="Fontepargpadro"/>
    <w:link w:val="Nivel01"/>
    <w:rsid w:val="00D81286"/>
    <w:rPr>
      <w:rFonts w:ascii="Times New Roman" w:eastAsiaTheme="majorEastAsia" w:hAnsi="Times New Roman" w:cs="Times New Roman"/>
      <w:b/>
      <w:bCs/>
      <w:color w:val="000000" w:themeColor="text1"/>
      <w:spacing w:val="5"/>
      <w:kern w:val="28"/>
      <w:sz w:val="24"/>
      <w:szCs w:val="24"/>
      <w:shd w:val="clear" w:color="auto" w:fill="F2F2F2" w:themeFill="background1" w:themeFillShade="F2"/>
      <w:lang w:eastAsia="pt-BR"/>
    </w:rPr>
  </w:style>
  <w:style w:type="character" w:customStyle="1" w:styleId="eop">
    <w:name w:val="eop"/>
    <w:basedOn w:val="Fontepargpadro"/>
    <w:rsid w:val="00D81286"/>
  </w:style>
  <w:style w:type="paragraph" w:customStyle="1" w:styleId="Nivel2">
    <w:name w:val="Nivel 2"/>
    <w:basedOn w:val="Normal"/>
    <w:link w:val="Nivel2Char"/>
    <w:qFormat/>
    <w:rsid w:val="00D81286"/>
    <w:pPr>
      <w:spacing w:before="120" w:after="120" w:line="276" w:lineRule="auto"/>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D81286"/>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D81286"/>
    <w:pPr>
      <w:spacing w:before="120" w:after="120" w:line="276" w:lineRule="auto"/>
      <w:ind w:left="284"/>
      <w:jc w:val="both"/>
    </w:pPr>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D81286"/>
    <w:rPr>
      <w:rFonts w:ascii="Arial" w:eastAsiaTheme="minorEastAsia" w:hAnsi="Arial" w:cs="Arial"/>
      <w:color w:val="000000"/>
      <w:sz w:val="20"/>
      <w:szCs w:val="20"/>
      <w:lang w:eastAsia="pt-BR"/>
    </w:rPr>
  </w:style>
  <w:style w:type="paragraph" w:styleId="CabealhodoSumrio">
    <w:name w:val="TOC Heading"/>
    <w:basedOn w:val="Ttulo1"/>
    <w:next w:val="Normal"/>
    <w:uiPriority w:val="39"/>
    <w:unhideWhenUsed/>
    <w:qFormat/>
    <w:rsid w:val="00D81286"/>
    <w:pPr>
      <w:spacing w:before="240" w:line="259" w:lineRule="auto"/>
      <w:outlineLvl w:val="9"/>
    </w:pPr>
    <w:rPr>
      <w:b w:val="0"/>
      <w:bCs w:val="0"/>
      <w:sz w:val="32"/>
      <w:szCs w:val="32"/>
      <w:lang w:eastAsia="pt-BR"/>
    </w:rPr>
  </w:style>
  <w:style w:type="paragraph" w:styleId="Sumrio1">
    <w:name w:val="toc 1"/>
    <w:basedOn w:val="Normal"/>
    <w:next w:val="Normal"/>
    <w:autoRedefine/>
    <w:uiPriority w:val="39"/>
    <w:unhideWhenUsed/>
    <w:rsid w:val="00D81286"/>
    <w:pPr>
      <w:tabs>
        <w:tab w:val="left" w:pos="426"/>
        <w:tab w:val="right" w:leader="dot" w:pos="9628"/>
      </w:tabs>
      <w:spacing w:after="100"/>
    </w:pPr>
    <w:rPr>
      <w:rFonts w:ascii="Arial" w:eastAsia="Times New Roman" w:hAnsi="Arial" w:cs="Tahoma"/>
      <w:sz w:val="20"/>
      <w:lang w:eastAsia="pt-BR"/>
    </w:rPr>
  </w:style>
  <w:style w:type="paragraph" w:customStyle="1" w:styleId="Normal1">
    <w:name w:val="Normal1"/>
    <w:rsid w:val="00D81286"/>
    <w:pPr>
      <w:widowControl w:val="0"/>
      <w:spacing w:after="0" w:line="240" w:lineRule="auto"/>
    </w:pPr>
    <w:rPr>
      <w:rFonts w:ascii="Carlito" w:eastAsia="Carlito" w:hAnsi="Carlito" w:cs="Carlito"/>
      <w:lang w:val="pt-PT" w:eastAsia="pt-BR"/>
    </w:rPr>
  </w:style>
  <w:style w:type="paragraph" w:styleId="Textodebalo">
    <w:name w:val="Balloon Text"/>
    <w:basedOn w:val="Normal"/>
    <w:link w:val="TextodebaloChar"/>
    <w:uiPriority w:val="99"/>
    <w:semiHidden/>
    <w:unhideWhenUsed/>
    <w:rsid w:val="00D81286"/>
    <w:rPr>
      <w:rFonts w:ascii="Tahoma" w:hAnsi="Tahoma" w:cs="Tahoma"/>
      <w:sz w:val="16"/>
      <w:szCs w:val="16"/>
    </w:rPr>
  </w:style>
  <w:style w:type="character" w:customStyle="1" w:styleId="TextodebaloChar">
    <w:name w:val="Texto de balão Char"/>
    <w:basedOn w:val="Fontepargpadro"/>
    <w:link w:val="Textodebalo"/>
    <w:uiPriority w:val="99"/>
    <w:semiHidden/>
    <w:rsid w:val="00D81286"/>
    <w:rPr>
      <w:rFonts w:ascii="Tahoma" w:hAnsi="Tahoma" w:cs="Tahoma"/>
      <w:sz w:val="16"/>
      <w:szCs w:val="16"/>
    </w:rPr>
  </w:style>
  <w:style w:type="paragraph" w:customStyle="1" w:styleId="Nivel4">
    <w:name w:val="Nivel 4"/>
    <w:basedOn w:val="Nivel3"/>
    <w:link w:val="Nivel4Char"/>
    <w:qFormat/>
    <w:rsid w:val="00D81286"/>
    <w:pPr>
      <w:ind w:left="567"/>
    </w:pPr>
    <w:rPr>
      <w:color w:val="auto"/>
    </w:rPr>
  </w:style>
  <w:style w:type="paragraph" w:customStyle="1" w:styleId="Nivel5">
    <w:name w:val="Nivel 5"/>
    <w:basedOn w:val="Nivel4"/>
    <w:qFormat/>
    <w:rsid w:val="00D81286"/>
  </w:style>
  <w:style w:type="paragraph" w:customStyle="1" w:styleId="Nvel2-Red">
    <w:name w:val="Nível 2 -Red"/>
    <w:basedOn w:val="Nivel2"/>
    <w:link w:val="Nvel2-RedChar"/>
    <w:qFormat/>
    <w:rsid w:val="00D81286"/>
    <w:pPr>
      <w:numPr>
        <w:ilvl w:val="1"/>
        <w:numId w:val="2"/>
      </w:numPr>
      <w:ind w:left="0" w:firstLine="0"/>
    </w:pPr>
    <w:rPr>
      <w:i/>
      <w:iCs/>
      <w:color w:val="FF0000"/>
    </w:rPr>
  </w:style>
  <w:style w:type="character" w:customStyle="1" w:styleId="Nvel2-RedChar">
    <w:name w:val="Nível 2 -Red Char"/>
    <w:basedOn w:val="Nivel2Char"/>
    <w:link w:val="Nvel2-Red"/>
    <w:rsid w:val="00D81286"/>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D81286"/>
    <w:rPr>
      <w:rFonts w:ascii="Arial" w:eastAsiaTheme="minorEastAsia" w:hAnsi="Arial" w:cs="Arial"/>
      <w:sz w:val="20"/>
      <w:szCs w:val="20"/>
      <w:lang w:eastAsia="pt-BR"/>
    </w:rPr>
  </w:style>
  <w:style w:type="character" w:styleId="Forte">
    <w:name w:val="Strong"/>
    <w:basedOn w:val="Fontepargpadro"/>
    <w:uiPriority w:val="22"/>
    <w:qFormat/>
    <w:rsid w:val="00E529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86"/>
    <w:pPr>
      <w:spacing w:after="0" w:line="240" w:lineRule="auto"/>
    </w:pPr>
    <w:rPr>
      <w:sz w:val="24"/>
      <w:szCs w:val="24"/>
    </w:rPr>
  </w:style>
  <w:style w:type="paragraph" w:styleId="Ttulo1">
    <w:name w:val="heading 1"/>
    <w:basedOn w:val="Normal"/>
    <w:next w:val="Normal"/>
    <w:link w:val="Ttulo1Char"/>
    <w:uiPriority w:val="9"/>
    <w:qFormat/>
    <w:rsid w:val="00D812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D81286"/>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128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D81286"/>
    <w:rPr>
      <w:rFonts w:asciiTheme="majorHAnsi" w:eastAsiaTheme="majorEastAsia" w:hAnsiTheme="majorHAnsi" w:cstheme="majorBidi"/>
      <w:color w:val="243F60" w:themeColor="accent1" w:themeShade="7F"/>
      <w:sz w:val="24"/>
      <w:szCs w:val="24"/>
    </w:rPr>
  </w:style>
  <w:style w:type="paragraph" w:styleId="Cabealho">
    <w:name w:val="header"/>
    <w:basedOn w:val="Normal"/>
    <w:link w:val="CabealhoChar"/>
    <w:uiPriority w:val="99"/>
    <w:unhideWhenUsed/>
    <w:rsid w:val="00D81286"/>
    <w:pPr>
      <w:tabs>
        <w:tab w:val="center" w:pos="4252"/>
        <w:tab w:val="right" w:pos="8504"/>
      </w:tabs>
    </w:pPr>
  </w:style>
  <w:style w:type="character" w:customStyle="1" w:styleId="CabealhoChar">
    <w:name w:val="Cabeçalho Char"/>
    <w:basedOn w:val="Fontepargpadro"/>
    <w:link w:val="Cabealho"/>
    <w:uiPriority w:val="99"/>
    <w:qFormat/>
    <w:rsid w:val="00D81286"/>
    <w:rPr>
      <w:sz w:val="24"/>
      <w:szCs w:val="24"/>
    </w:rPr>
  </w:style>
  <w:style w:type="paragraph" w:styleId="Rodap">
    <w:name w:val="footer"/>
    <w:basedOn w:val="Normal"/>
    <w:link w:val="RodapChar"/>
    <w:uiPriority w:val="99"/>
    <w:unhideWhenUsed/>
    <w:rsid w:val="00D81286"/>
    <w:pPr>
      <w:tabs>
        <w:tab w:val="center" w:pos="4252"/>
        <w:tab w:val="right" w:pos="8504"/>
      </w:tabs>
    </w:pPr>
  </w:style>
  <w:style w:type="character" w:customStyle="1" w:styleId="RodapChar">
    <w:name w:val="Rodapé Char"/>
    <w:basedOn w:val="Fontepargpadro"/>
    <w:link w:val="Rodap"/>
    <w:uiPriority w:val="99"/>
    <w:rsid w:val="00D81286"/>
    <w:rPr>
      <w:sz w:val="24"/>
      <w:szCs w:val="24"/>
    </w:rPr>
  </w:style>
  <w:style w:type="paragraph" w:styleId="PargrafodaLista">
    <w:name w:val="List Paragraph"/>
    <w:basedOn w:val="Normal"/>
    <w:link w:val="PargrafodaListaChar"/>
    <w:uiPriority w:val="34"/>
    <w:qFormat/>
    <w:rsid w:val="00D81286"/>
    <w:pPr>
      <w:ind w:left="720"/>
      <w:contextualSpacing/>
    </w:pPr>
    <w:rPr>
      <w:rFonts w:ascii="Ecofont_Spranq_eco_Sans" w:eastAsiaTheme="minorEastAsia" w:hAnsi="Ecofont_Spranq_eco_Sans" w:cs="Tahoma"/>
      <w:lang w:eastAsia="pt-BR"/>
    </w:rPr>
  </w:style>
  <w:style w:type="character" w:customStyle="1" w:styleId="PargrafodaListaChar">
    <w:name w:val="Parágrafo da Lista Char"/>
    <w:basedOn w:val="Fontepargpadro"/>
    <w:link w:val="PargrafodaLista"/>
    <w:uiPriority w:val="34"/>
    <w:rsid w:val="00D81286"/>
    <w:rPr>
      <w:rFonts w:ascii="Ecofont_Spranq_eco_Sans" w:eastAsiaTheme="minorEastAsia" w:hAnsi="Ecofont_Spranq_eco_Sans" w:cs="Tahoma"/>
      <w:sz w:val="24"/>
      <w:szCs w:val="24"/>
      <w:lang w:eastAsia="pt-BR"/>
    </w:rPr>
  </w:style>
  <w:style w:type="character" w:styleId="Hyperlink">
    <w:name w:val="Hyperlink"/>
    <w:uiPriority w:val="99"/>
    <w:rsid w:val="00D81286"/>
    <w:rPr>
      <w:color w:val="000080"/>
      <w:u w:val="single"/>
    </w:rPr>
  </w:style>
  <w:style w:type="paragraph" w:customStyle="1" w:styleId="Nivel01">
    <w:name w:val="Nivel 01"/>
    <w:basedOn w:val="Ttulo1"/>
    <w:next w:val="Normal"/>
    <w:link w:val="Nivel01Char"/>
    <w:autoRedefine/>
    <w:qFormat/>
    <w:rsid w:val="00D81286"/>
    <w:pPr>
      <w:numPr>
        <w:numId w:val="2"/>
      </w:numPr>
      <w:shd w:val="clear" w:color="auto" w:fill="F2F2F2" w:themeFill="background1" w:themeFillShade="F2"/>
      <w:tabs>
        <w:tab w:val="left" w:pos="284"/>
      </w:tabs>
      <w:spacing w:before="240" w:line="276" w:lineRule="auto"/>
      <w:ind w:left="0" w:firstLine="0"/>
      <w:jc w:val="both"/>
    </w:pPr>
    <w:rPr>
      <w:rFonts w:ascii="Times New Roman" w:hAnsi="Times New Roman" w:cs="Times New Roman"/>
      <w:color w:val="000000" w:themeColor="text1"/>
      <w:spacing w:val="5"/>
      <w:kern w:val="28"/>
      <w:sz w:val="24"/>
      <w:szCs w:val="24"/>
      <w:lang w:eastAsia="pt-BR"/>
    </w:rPr>
  </w:style>
  <w:style w:type="character" w:customStyle="1" w:styleId="Nivel01Char">
    <w:name w:val="Nivel 01 Char"/>
    <w:basedOn w:val="Fontepargpadro"/>
    <w:link w:val="Nivel01"/>
    <w:rsid w:val="00D81286"/>
    <w:rPr>
      <w:rFonts w:ascii="Times New Roman" w:eastAsiaTheme="majorEastAsia" w:hAnsi="Times New Roman" w:cs="Times New Roman"/>
      <w:b/>
      <w:bCs/>
      <w:color w:val="000000" w:themeColor="text1"/>
      <w:spacing w:val="5"/>
      <w:kern w:val="28"/>
      <w:sz w:val="24"/>
      <w:szCs w:val="24"/>
      <w:shd w:val="clear" w:color="auto" w:fill="F2F2F2" w:themeFill="background1" w:themeFillShade="F2"/>
      <w:lang w:eastAsia="pt-BR"/>
    </w:rPr>
  </w:style>
  <w:style w:type="character" w:customStyle="1" w:styleId="eop">
    <w:name w:val="eop"/>
    <w:basedOn w:val="Fontepargpadro"/>
    <w:rsid w:val="00D81286"/>
  </w:style>
  <w:style w:type="paragraph" w:customStyle="1" w:styleId="Nivel2">
    <w:name w:val="Nivel 2"/>
    <w:basedOn w:val="Normal"/>
    <w:link w:val="Nivel2Char"/>
    <w:qFormat/>
    <w:rsid w:val="00D81286"/>
    <w:pPr>
      <w:spacing w:before="120" w:after="120" w:line="276" w:lineRule="auto"/>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D81286"/>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D81286"/>
    <w:pPr>
      <w:spacing w:before="120" w:after="120" w:line="276" w:lineRule="auto"/>
      <w:ind w:left="284"/>
      <w:jc w:val="both"/>
    </w:pPr>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D81286"/>
    <w:rPr>
      <w:rFonts w:ascii="Arial" w:eastAsiaTheme="minorEastAsia" w:hAnsi="Arial" w:cs="Arial"/>
      <w:color w:val="000000"/>
      <w:sz w:val="20"/>
      <w:szCs w:val="20"/>
      <w:lang w:eastAsia="pt-BR"/>
    </w:rPr>
  </w:style>
  <w:style w:type="paragraph" w:styleId="CabealhodoSumrio">
    <w:name w:val="TOC Heading"/>
    <w:basedOn w:val="Ttulo1"/>
    <w:next w:val="Normal"/>
    <w:uiPriority w:val="39"/>
    <w:unhideWhenUsed/>
    <w:qFormat/>
    <w:rsid w:val="00D81286"/>
    <w:pPr>
      <w:spacing w:before="240" w:line="259" w:lineRule="auto"/>
      <w:outlineLvl w:val="9"/>
    </w:pPr>
    <w:rPr>
      <w:b w:val="0"/>
      <w:bCs w:val="0"/>
      <w:sz w:val="32"/>
      <w:szCs w:val="32"/>
      <w:lang w:eastAsia="pt-BR"/>
    </w:rPr>
  </w:style>
  <w:style w:type="paragraph" w:styleId="Sumrio1">
    <w:name w:val="toc 1"/>
    <w:basedOn w:val="Normal"/>
    <w:next w:val="Normal"/>
    <w:autoRedefine/>
    <w:uiPriority w:val="39"/>
    <w:unhideWhenUsed/>
    <w:rsid w:val="00D81286"/>
    <w:pPr>
      <w:tabs>
        <w:tab w:val="left" w:pos="426"/>
        <w:tab w:val="right" w:leader="dot" w:pos="9628"/>
      </w:tabs>
      <w:spacing w:after="100"/>
    </w:pPr>
    <w:rPr>
      <w:rFonts w:ascii="Arial" w:eastAsia="Times New Roman" w:hAnsi="Arial" w:cs="Tahoma"/>
      <w:sz w:val="20"/>
      <w:lang w:eastAsia="pt-BR"/>
    </w:rPr>
  </w:style>
  <w:style w:type="paragraph" w:customStyle="1" w:styleId="Normal1">
    <w:name w:val="Normal1"/>
    <w:rsid w:val="00D81286"/>
    <w:pPr>
      <w:widowControl w:val="0"/>
      <w:spacing w:after="0" w:line="240" w:lineRule="auto"/>
    </w:pPr>
    <w:rPr>
      <w:rFonts w:ascii="Carlito" w:eastAsia="Carlito" w:hAnsi="Carlito" w:cs="Carlito"/>
      <w:lang w:val="pt-PT" w:eastAsia="pt-BR"/>
    </w:rPr>
  </w:style>
  <w:style w:type="paragraph" w:styleId="Textodebalo">
    <w:name w:val="Balloon Text"/>
    <w:basedOn w:val="Normal"/>
    <w:link w:val="TextodebaloChar"/>
    <w:uiPriority w:val="99"/>
    <w:semiHidden/>
    <w:unhideWhenUsed/>
    <w:rsid w:val="00D81286"/>
    <w:rPr>
      <w:rFonts w:ascii="Tahoma" w:hAnsi="Tahoma" w:cs="Tahoma"/>
      <w:sz w:val="16"/>
      <w:szCs w:val="16"/>
    </w:rPr>
  </w:style>
  <w:style w:type="character" w:customStyle="1" w:styleId="TextodebaloChar">
    <w:name w:val="Texto de balão Char"/>
    <w:basedOn w:val="Fontepargpadro"/>
    <w:link w:val="Textodebalo"/>
    <w:uiPriority w:val="99"/>
    <w:semiHidden/>
    <w:rsid w:val="00D81286"/>
    <w:rPr>
      <w:rFonts w:ascii="Tahoma" w:hAnsi="Tahoma" w:cs="Tahoma"/>
      <w:sz w:val="16"/>
      <w:szCs w:val="16"/>
    </w:rPr>
  </w:style>
  <w:style w:type="paragraph" w:customStyle="1" w:styleId="Nivel4">
    <w:name w:val="Nivel 4"/>
    <w:basedOn w:val="Nivel3"/>
    <w:link w:val="Nivel4Char"/>
    <w:qFormat/>
    <w:rsid w:val="00D81286"/>
    <w:pPr>
      <w:ind w:left="567"/>
    </w:pPr>
    <w:rPr>
      <w:color w:val="auto"/>
    </w:rPr>
  </w:style>
  <w:style w:type="paragraph" w:customStyle="1" w:styleId="Nivel5">
    <w:name w:val="Nivel 5"/>
    <w:basedOn w:val="Nivel4"/>
    <w:qFormat/>
    <w:rsid w:val="00D81286"/>
  </w:style>
  <w:style w:type="paragraph" w:customStyle="1" w:styleId="Nvel2-Red">
    <w:name w:val="Nível 2 -Red"/>
    <w:basedOn w:val="Nivel2"/>
    <w:link w:val="Nvel2-RedChar"/>
    <w:qFormat/>
    <w:rsid w:val="00D81286"/>
    <w:pPr>
      <w:numPr>
        <w:ilvl w:val="1"/>
        <w:numId w:val="2"/>
      </w:numPr>
      <w:ind w:left="0" w:firstLine="0"/>
    </w:pPr>
    <w:rPr>
      <w:i/>
      <w:iCs/>
      <w:color w:val="FF0000"/>
    </w:rPr>
  </w:style>
  <w:style w:type="character" w:customStyle="1" w:styleId="Nvel2-RedChar">
    <w:name w:val="Nível 2 -Red Char"/>
    <w:basedOn w:val="Nivel2Char"/>
    <w:link w:val="Nvel2-Red"/>
    <w:rsid w:val="00D81286"/>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D81286"/>
    <w:rPr>
      <w:rFonts w:ascii="Arial" w:eastAsiaTheme="minorEastAsia" w:hAnsi="Arial" w:cs="Arial"/>
      <w:sz w:val="20"/>
      <w:szCs w:val="20"/>
      <w:lang w:eastAsia="pt-BR"/>
    </w:rPr>
  </w:style>
  <w:style w:type="character" w:styleId="Forte">
    <w:name w:val="Strong"/>
    <w:basedOn w:val="Fontepargpadro"/>
    <w:uiPriority w:val="22"/>
    <w:qFormat/>
    <w:rsid w:val="00E52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leis/l8429.ht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cnj.jus.br/improbidade_adm/consultar_requerido.php"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ov.br/compras" TargetMode="External"/><Relationship Id="rId24" Type="http://schemas.openxmlformats.org/officeDocument/2006/relationships/hyperlink" Target="https://www.portaltransparencia.gov.br/sancoes/cnep"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ortaltransparencia.gov.br/sancoes/ceis"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fesaude.niteroi.rj.gov.br/licitacoes" TargetMode="External"/><Relationship Id="rId10" Type="http://schemas.openxmlformats.org/officeDocument/2006/relationships/endnotes" Target="endnotes.xm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mailto:licitacoes@fesaude.niteroi.rj.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2AD56B6202C6488D3A130C06B6E1EE" ma:contentTypeVersion="11" ma:contentTypeDescription="Crie um novo documento." ma:contentTypeScope="" ma:versionID="13f51e893267a05692a19aee6ba81f25">
  <xsd:schema xmlns:xsd="http://www.w3.org/2001/XMLSchema" xmlns:xs="http://www.w3.org/2001/XMLSchema" xmlns:p="http://schemas.microsoft.com/office/2006/metadata/properties" xmlns:ns2="22f64917-1b38-4016-b49d-69d700aaa105" xmlns:ns3="846c208f-4d68-4723-9d5e-ecb9ea4baca5" targetNamespace="http://schemas.microsoft.com/office/2006/metadata/properties" ma:root="true" ma:fieldsID="e2f7f56b7e67d1f651cdeeacc8401df4" ns2:_="" ns3:_="">
    <xsd:import namespace="22f64917-1b38-4016-b49d-69d700aaa105"/>
    <xsd:import namespace="846c208f-4d68-4723-9d5e-ecb9ea4bac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4917-1b38-4016-b49d-69d700aaa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7b211f3a-d94c-4891-b417-d57934b269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c208f-4d68-4723-9d5e-ecb9ea4bac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7c2c8f4-8267-4a37-80c0-7ec01f0012c9}" ma:internalName="TaxCatchAll" ma:showField="CatchAllData" ma:web="846c208f-4d68-4723-9d5e-ecb9ea4ba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64917-1b38-4016-b49d-69d700aaa105">
      <Terms xmlns="http://schemas.microsoft.com/office/infopath/2007/PartnerControls"/>
    </lcf76f155ced4ddcb4097134ff3c332f>
    <TaxCatchAll xmlns="846c208f-4d68-4723-9d5e-ecb9ea4baca5" xsi:nil="true"/>
  </documentManagement>
</p:properties>
</file>

<file path=customXml/itemProps1.xml><?xml version="1.0" encoding="utf-8"?>
<ds:datastoreItem xmlns:ds="http://schemas.openxmlformats.org/officeDocument/2006/customXml" ds:itemID="{AA7500F8-4C92-48BA-B55C-D3B87D75B161}">
  <ds:schemaRefs>
    <ds:schemaRef ds:uri="http://schemas.microsoft.com/sharepoint/v3/contenttype/forms"/>
  </ds:schemaRefs>
</ds:datastoreItem>
</file>

<file path=customXml/itemProps2.xml><?xml version="1.0" encoding="utf-8"?>
<ds:datastoreItem xmlns:ds="http://schemas.openxmlformats.org/officeDocument/2006/customXml" ds:itemID="{1A709CCF-3203-4E35-876F-E5BC8E5C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4917-1b38-4016-b49d-69d700aaa105"/>
    <ds:schemaRef ds:uri="846c208f-4d68-4723-9d5e-ecb9ea4ba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103C4-F299-45FD-B6AE-FD1561C76E70}">
  <ds:schemaRefs>
    <ds:schemaRef ds:uri="http://schemas.microsoft.com/office/2006/metadata/properties"/>
    <ds:schemaRef ds:uri="http://schemas.microsoft.com/office/infopath/2007/PartnerControls"/>
    <ds:schemaRef ds:uri="22f64917-1b38-4016-b49d-69d700aaa105"/>
    <ds:schemaRef ds:uri="846c208f-4d68-4723-9d5e-ecb9ea4bac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12169</Words>
  <Characters>65714</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Elaine Lucena</cp:lastModifiedBy>
  <cp:revision>2</cp:revision>
  <cp:lastPrinted>2026-03-05T21:45:00Z</cp:lastPrinted>
  <dcterms:created xsi:type="dcterms:W3CDTF">2026-03-23T17:14:00Z</dcterms:created>
  <dcterms:modified xsi:type="dcterms:W3CDTF">2026-03-23T17:14:00Z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0x010100ED2AD56B6202C6488D3A130C06B6E1EE</vt:lpwstr>
  </property>
</Properties>
</file>